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56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</w:t>
      </w:r>
    </w:p>
    <w:p w:rsidR="00214256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ЗАБРОДЕНСКОГО СЕЛЬСКОГО ПОСЕЛЕНИЯ</w:t>
      </w:r>
    </w:p>
    <w:p w:rsidR="00214256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 МУНИЦИПАЛЬНОГО РАЙОНА</w:t>
      </w:r>
    </w:p>
    <w:p w:rsidR="00A20BD0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214256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BD0" w:rsidRPr="009C2FD8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2FD8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214256" w:rsidRPr="009C2FD8" w:rsidRDefault="00214256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A20BD0" w:rsidRPr="009C2FD8" w:rsidRDefault="00A77429" w:rsidP="009C2FD8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о</w:t>
      </w:r>
      <w:r w:rsidR="00A20BD0"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т</w:t>
      </w:r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28</w:t>
      </w:r>
      <w:r w:rsidR="00DC463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мая </w:t>
      </w:r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2021</w:t>
      </w:r>
      <w:r w:rsidR="00214256"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г. №</w:t>
      </w:r>
      <w:r w:rsidR="00A20BD0"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59</w:t>
      </w:r>
    </w:p>
    <w:p w:rsidR="00214256" w:rsidRPr="009C2FD8" w:rsidRDefault="00214256" w:rsidP="009C2FD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с. </w:t>
      </w:r>
      <w:proofErr w:type="spellStart"/>
      <w:r w:rsidRPr="009C2F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Заброды</w:t>
      </w:r>
      <w:proofErr w:type="spellEnd"/>
    </w:p>
    <w:p w:rsidR="00A20BD0" w:rsidRPr="009C2FD8" w:rsidRDefault="00A20BD0" w:rsidP="009C2FD8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C57" w:rsidRPr="009C2FD8" w:rsidRDefault="00214256" w:rsidP="009C2FD8">
      <w:pPr>
        <w:pStyle w:val="ConsPlusTitle"/>
        <w:tabs>
          <w:tab w:val="left" w:pos="5954"/>
        </w:tabs>
        <w:ind w:right="34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рассмотрения и реализации инициативных проектов, а также проведения их конкурсного отбора в </w:t>
      </w:r>
      <w:proofErr w:type="spellStart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Заброденском</w:t>
      </w:r>
      <w:proofErr w:type="spellEnd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A20BD0" w:rsidRPr="009C2FD8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BD0" w:rsidRPr="009C2FD8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D8" w:rsidRPr="009C2FD8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9C2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26.1</w:t>
        </w:r>
      </w:hyperlink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9C2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C2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56.1</w:t>
        </w:r>
      </w:hyperlink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11" w:history="1">
        <w:r w:rsidRPr="009C2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Заброденского</w:t>
      </w:r>
      <w:proofErr w:type="spellEnd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DEE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623217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предложения прокуратуры </w:t>
      </w:r>
      <w:proofErr w:type="spellStart"/>
      <w:r w:rsidR="00623217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="00623217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направленные в порядке правотворческой инициативы</w:t>
      </w: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народных депутатов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Заброденского</w:t>
      </w:r>
      <w:proofErr w:type="spellEnd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ED1B65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E41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31518B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FD8"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</w:t>
      </w:r>
      <w:r w:rsidR="009C2FD8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20BD0" w:rsidRPr="009C2FD8" w:rsidRDefault="009C2FD8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w:anchor="P30" w:history="1">
        <w:r w:rsidR="00A20BD0" w:rsidRPr="009C2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C57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и реализации</w:t>
      </w:r>
      <w:r w:rsidR="00ED1B65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проектов, а также проведения их конкурсного отбора в</w:t>
      </w:r>
      <w:r w:rsidR="00ED1B65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Заброденском</w:t>
      </w:r>
      <w:proofErr w:type="spellEnd"/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C57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сельском поселении </w:t>
      </w:r>
      <w:proofErr w:type="spellStart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="00413932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E41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2FD8" w:rsidRPr="009C2FD8" w:rsidRDefault="009C2FD8" w:rsidP="009C2FD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Заброденского</w:t>
      </w:r>
      <w:proofErr w:type="spellEnd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Калачеевского</w:t>
      </w:r>
      <w:proofErr w:type="spellEnd"/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A20BD0" w:rsidRPr="009C2FD8" w:rsidRDefault="009C2FD8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0B72A6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01.06.2021г</w:t>
      </w:r>
      <w:r w:rsidR="00A20BD0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2A6" w:rsidRPr="009C2FD8" w:rsidRDefault="000B72A6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3" w:rsidRPr="009C2FD8" w:rsidRDefault="00A20BD0" w:rsidP="009C2FD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</w:p>
    <w:p w:rsidR="00ED1B65" w:rsidRPr="009C2FD8" w:rsidRDefault="00413932" w:rsidP="009C2FD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Заброденского</w:t>
      </w:r>
      <w:proofErr w:type="spellEnd"/>
      <w:r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4256"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</w:t>
      </w:r>
      <w:r w:rsidR="00ED1B65"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 w:rsidR="00ED1B65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A01B4B"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C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С.А. Исаев</w:t>
      </w:r>
    </w:p>
    <w:p w:rsidR="001A6183" w:rsidRDefault="001A6183" w:rsidP="009C2F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6183" w:rsidSect="006E2765">
          <w:footerReference w:type="default" r:id="rId12"/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</w:p>
    <w:p w:rsidR="00A20BD0" w:rsidRPr="009C1726" w:rsidRDefault="00A20BD0" w:rsidP="009C2FD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</w:t>
      </w:r>
    </w:p>
    <w:p w:rsidR="00ED1B65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Совета народных депутатов</w:t>
      </w:r>
    </w:p>
    <w:p w:rsidR="00A20BD0" w:rsidRPr="009C1726" w:rsidRDefault="00DF5E5D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A20BD0" w:rsidRPr="009C1726" w:rsidRDefault="00A77429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28.05.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2021г.</w:t>
      </w:r>
      <w:r w:rsidR="009C2FD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59</w:t>
      </w:r>
    </w:p>
    <w:p w:rsidR="00ED1B65" w:rsidRPr="009C1726" w:rsidRDefault="00ED1B65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A20BD0" w:rsidRPr="009C1726" w:rsidRDefault="00745C57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И РЕАЛИЗАЦИИ</w:t>
      </w:r>
      <w:r w:rsidR="00A20B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ИНИЦИАТИВНЫХ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ПРОЕКТОВ, А ТАКЖЕ ПРОВЕДЕНИЯ ИХ КОНКУРСНОГО ОТБОРА</w:t>
      </w:r>
    </w:p>
    <w:p w:rsidR="00ED1B65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45C5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СЕЛЬСКОМ (ГОРОДСКОМ) ПОСЕЛЕНИИ </w:t>
      </w:r>
    </w:p>
    <w:p w:rsidR="00A20BD0" w:rsidRPr="009C1726" w:rsidRDefault="00DF5E5D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КАЛАЧЕЕВСКОГО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745C5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в соответствии </w:t>
      </w:r>
      <w:hyperlink r:id="rId13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4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5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Заброденском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Порядок) разработан в целях проведения мероприятий, имеющих приоритетное значение для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2. Инициативные проекты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2.1. Под инициативным проектом в настоящем Порядке понимается пред</w:t>
      </w:r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ложение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сельского поселения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мероприятий, имеющих приоритетное значение для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3"/>
      <w:bookmarkEnd w:id="1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2.2. Инициативный проект должен содержать следующие сведения: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описание проблемы, решение которой </w:t>
      </w:r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имеет приоритетное значение для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части;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обоснование предложений по решению указанной проблемы;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планируемые сроки реализации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указание на объем средств бюджета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указание на территорию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или ее части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границах которой будет реализовываться инициативный проект, в соответствии с </w:t>
      </w:r>
      <w:hyperlink w:anchor="P56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3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9) ориентировочное количество потенциальных </w:t>
      </w: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благополучателей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реализации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6"/>
      <w:bookmarkEnd w:id="2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Определение территории, в интересах населения которой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могут реализовываться инициативные проекты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3.1. Инициативные проекты могут реализовываться в интересах населения</w:t>
      </w:r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целом, а также в интересах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территорий: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подъезд многоквартирного дома;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многоквартирный дом;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жилой микрорайон;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группа жилых микрорайонов;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6) населенный пункт;</w:t>
      </w:r>
    </w:p>
    <w:p w:rsidR="00A20BD0" w:rsidRPr="009C1726" w:rsidRDefault="00515258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7) поселение.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51525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F5E5D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r w:rsidR="0051525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части</w:t>
      </w:r>
      <w:r w:rsidR="00BE728E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51525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краткое описание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Администрация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15 календарных дней со дня поступления заявления принимает решение: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об отказе в определении границ территории, на которой планируется реализовывать инициативный проект.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принятом решении администрация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 инициатора проекта в течение 3 рабочих дней.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80"/>
      <w:bookmarkEnd w:id="3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территория выходит за пределы территории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При установлении случаев, указанных в </w:t>
      </w:r>
      <w:hyperlink w:anchor="P80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3.7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администрация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решения.</w:t>
      </w:r>
    </w:p>
    <w:p w:rsidR="00A20BD0" w:rsidRPr="009C1726" w:rsidRDefault="00B01167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3.11.</w:t>
      </w:r>
      <w:r w:rsidR="00A20B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Решение администрации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A20B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4. Инициаторы проекта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4.2. Лица, указанные в пункте 4.1 настоящего раздела: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готовят инициативный проект;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вносят инициативный проект в администрацию района;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участвуют в контроле за реализацией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5. Выявление мнения граждан по вопросу о поддержке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5.1. Инициативный проект должен быть поддержан населением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или жителями его части, в интересах которых предполагается реализация инициативного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Инициативный проект до его внесения в администрацию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 Собрание граждан по вопросам выдвижения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Собрание проводится на части территории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интересах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="00227E4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6.6. О проведении собрания (конференции) жители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 проинформированы инициаторами проекта не менее чем за 10 календарных дней до их проведения.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7. Подготовка к проведению собрания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инициативный проект, для обсуждения которого проводится собрание;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повестка дня собрания;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дата, время, место проведения собрания;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предполагаемое количество участников собрания;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способы информирования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сельского (городского)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территории, на которой проводится собрание, о его проведении.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7.2. Инициатор проекта направляет в администрацию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EAA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7.3. В уведомлении о проведении собрания указываются: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сведения об инициаторе проекта (фамилии, имена, отчества членов инициативной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сведения, предусмотренные пунктом 7.1;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При наличии просьбы о предоставлении помещения для проведения собрания администрация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9C1726" w:rsidRDefault="00A20BD0" w:rsidP="009C2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7.6. Администрация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Одновременно граждане информируются о возможности представления в  администрацию</w:t>
      </w:r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D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7.7. Администрация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504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 Порядок проведения собрания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подписывается секретарем и председателем собрания.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8.6. В протоколе собрания указываются: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место и время проведения собрания;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число граждан, принявших участие в собрании;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повестка дня собрания, содержание выступлений;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принятые решения по вопросам повестки дня.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9. Проведение конференции граждан по вопросам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выдвижения инициативных проектов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В случае, если число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Выборы и выдвижение делегатов на конференцию проводятся на собраниях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группы квартир, подъездов, дома или группы домов либо в форме сбора подписей за кандидата в делегаты</w:t>
      </w:r>
      <w:r w:rsidR="0066707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конференции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подписных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295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листах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N 1 к Порядку).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9.3. По инициативе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жителей с</w:t>
      </w:r>
      <w:r w:rsidR="00ED3A3E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ельского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подпис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подъездов, дома или группы домов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улицы, улиц, части населенного пункта, населенного пункта (виды территорий поселения указанные в п.3.1)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норма представительства для избрания делегатов, которая </w:t>
      </w:r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не может быть менее 1 делегата 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сельского 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территории, достигших шестнадцатилетнего возраста;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сроки и порядок проведения собраний для избрания делегатов.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10. Сбор подписей граждан в поддержку инициативных проектов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ED1B6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с</w:t>
      </w:r>
      <w:r w:rsidR="00D0040A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ельского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проживающих на соответствующей территории </w:t>
      </w:r>
      <w:proofErr w:type="spellStart"/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C035D3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листов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N 2 к Порядку).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10.4. Сбор подписей осуществляется в следующем порядке: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подписи собираются посредством их внесения в подписной лист;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заверительные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6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2006 года N 152-ФЗ "О персональных данных".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11. Внесение инициативных проектов</w:t>
      </w:r>
    </w:p>
    <w:p w:rsidR="00696287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A20BD0" w:rsidRPr="009C1726" w:rsidRDefault="00696287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0"/>
      <w:bookmarkEnd w:id="4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При внесении инициативного проекта в администрацию </w:t>
      </w:r>
      <w:proofErr w:type="spellStart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D0040A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представляются: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и реализации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696287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части.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Документы, указанные в пункте 11.1, представляются в администрацию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лицом, уполномоченным инициатором проекта взаимодействовать с администрацией </w:t>
      </w:r>
      <w:proofErr w:type="spellStart"/>
      <w:r w:rsidR="000B23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0B23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0B23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0B23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 Датой внесения проекта является день получения документов, указанных в </w:t>
      </w:r>
      <w:hyperlink w:anchor="P180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администрацией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 Комиссия по рассмотрению инициативных проектов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Комиссия по рассмотрению инициативных проектов (далее - комиссия)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12.2. Персональный состав комиссии определяется постановлением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12.4. Председатель комиссии: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организует работу комиссии, руководит ее деятельностью;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дает поручения членам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председательствует на заседаниях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12.6. Секретарь комиссии: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ведет протоколы заседаний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12.7. Член комиссии: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участвует в работе комиссии, в том числе в заседаниях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вносит предложения по вопросам работы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задает вопросы участникам заседания комиссии;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голосует на заседаниях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12.8. Основной формой работы комиссии являются заседания.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12.15. По результатам заседания комиссии составляется протокол, который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12.17. Организационно-техническое обеспечение деятельности комиссии осуществляет администрация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19"/>
      <w:bookmarkEnd w:id="5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 Порядок рассмотрения инициативного проекта</w:t>
      </w:r>
    </w:p>
    <w:p w:rsidR="00AC7945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A20BD0" w:rsidRPr="009C1726" w:rsidRDefault="00AC7945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AC7945" w:rsidRPr="009C1726" w:rsidRDefault="00AC7945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13.1. Инициативный проект рассматривается администрацией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30 дней со дня его внесения.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 Информация о внесении инициативного проекта в администрацию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01B4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опубликованию в "</w:t>
      </w:r>
      <w:r w:rsidR="005F4BAA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вестнике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</w:t>
      </w:r>
      <w:r w:rsidR="005F4BAA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ского (городского) поселения»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официальном сайте администрации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содержать сведения, указанные в </w:t>
      </w:r>
      <w:hyperlink w:anchor="P43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достигшие шестнадцатилетнего возраста. Замечания и предложения представляются в администрацию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13.5. По результатам рассмотрения инициативного проекта комиссия рекомендует главе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в администрацию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проведение конкурсного отбора.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13.6. Конкурсный отбор инициативных проектов организуется в соответствии с </w:t>
      </w:r>
      <w:hyperlink w:anchor="P242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14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13.7. С учетом рекомендации комиссии или по результатам конкурсного отбора глава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(городского)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одно из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следующих решений: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(внесения изменений в решение о бюджете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13.8. Глава администрации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3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оронежс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кой области, </w:t>
      </w:r>
      <w:hyperlink r:id="rId17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Уставу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отсутствие средств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6) признание инициативного проекта не прошедшим конкурсный отбор.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13.10. Администрация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="00491D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(городского)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13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242"/>
      <w:bookmarkEnd w:id="6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 Конкурсный отбор инициативных проектов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14.1. Конкурсный отбор осуществляет комиссия.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14.2. </w:t>
      </w:r>
      <w:hyperlink w:anchor="P419" w:history="1">
        <w:r w:rsidRPr="009C17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Критерии</w:t>
        </w:r>
      </w:hyperlink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14.3. Конкурсный отбор осуществляется на заседании комиссии.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15. Порядок реализации инициативного проекта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Реализация инициативных проектов осуществляется на условиях </w:t>
      </w: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15.2. Инициатор проекта до начала его реализации за счет средств бюджета </w:t>
      </w:r>
      <w:bookmarkStart w:id="7" w:name="_GoBack"/>
      <w:proofErr w:type="spellStart"/>
      <w:r w:rsidR="00404F5A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40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7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внесение инициативных платежей в доход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договора пожертвования, заключенного с администрацией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 поселения,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заключает с администрацией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F159E8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15.5. О реализации инициативного проекта издается постановление администрации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направление расходования средств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(строительство, реконструкция, приобретение, проведение мероприятия (мероприятий), иное);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наименование главного распорядителя средств бюджета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, выделяемых на реализацию инициативного проекта;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4) наименование заказчика, застройщика;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16. Порядок расчета и возврата сумм инициативных платежей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денежные средства, подлежащие возврату).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инициативного проекта.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AC7945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3E2EF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возврата инициативных платежей.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 Администрация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DE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</w:t>
      </w:r>
      <w:r w:rsidR="003E2EF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рабочих дней со дня поступления заявления осуществляет возврат денежных средств.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17. Порядок опубликования и размещения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информационно-коммуникационной сети "Интернет"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об инициативном проекте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17.1. Информация о рассмотрении инициативного проекта администрацией</w:t>
      </w:r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Вестнике муниципальных правовых актов </w:t>
      </w:r>
      <w:proofErr w:type="spellStart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официальном сайте администрации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"Интернет".</w:t>
      </w:r>
    </w:p>
    <w:p w:rsidR="00A20BD0" w:rsidRPr="009C1726" w:rsidRDefault="00A20BD0" w:rsidP="009C2F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17.2. Отчет администрации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итогах реализации инициативного проекта подлежит опубликованию в </w:t>
      </w:r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Вестнике муниципальных правовых актов </w:t>
      </w:r>
      <w:proofErr w:type="spellStart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B3E0A" w:rsidRPr="00DB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размещению на официальном сайте администрации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Калачеевского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CE5D7B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9C2FD8" w:rsidRPr="009C1726" w:rsidRDefault="009C2FD8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2FD8" w:rsidRPr="009C1726" w:rsidSect="006E2765"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выдвижения, внесения,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обсуждения и рассмотрения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</w:p>
    <w:p w:rsidR="003E2EFF" w:rsidRPr="009C1726" w:rsidRDefault="00DE2D31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Заброденском</w:t>
      </w:r>
      <w:proofErr w:type="spellEnd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EF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сельском </w:t>
      </w:r>
    </w:p>
    <w:p w:rsidR="00A20BD0" w:rsidRPr="009C1726" w:rsidRDefault="003E2EFF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491DEF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295"/>
            <w:bookmarkEnd w:id="8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ПОДПИСНОЙ </w:t>
            </w:r>
            <w:r w:rsidR="00A20BD0"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адрес делегата)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делегатом на конференцию </w:t>
            </w:r>
            <w:r w:rsidR="00ED1B65"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сельского (городского) поселения </w:t>
            </w: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(формулировка вопроса)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подпись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3E2EFF" w:rsidP="009C2F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Подписной </w:t>
            </w:r>
            <w:r w:rsidR="00A20BD0"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(фамилия, имя, отчество, место жительства, серия, номер паспорта,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инициативной группы)</w:t>
            </w:r>
          </w:p>
        </w:tc>
      </w:tr>
      <w:tr w:rsidR="009C2FD8" w:rsidRPr="009C172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726" w:rsidRPr="009C172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</w:tbl>
    <w:p w:rsidR="009C2FD8" w:rsidRPr="009C1726" w:rsidRDefault="009C2FD8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2FD8" w:rsidRPr="009C1726" w:rsidSect="006E2765"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</w:p>
    <w:p w:rsidR="00491DEF" w:rsidRPr="009C1726" w:rsidRDefault="00491DEF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BD0" w:rsidRPr="009C1726" w:rsidRDefault="00A20BD0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выдвижения, внесения,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обсуждения и рассмотрения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</w:p>
    <w:p w:rsidR="003E2EFF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Заброденском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EF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сельском</w:t>
      </w:r>
    </w:p>
    <w:p w:rsidR="00A20BD0" w:rsidRPr="009C1726" w:rsidRDefault="003E2EFF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поселении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9C2FD8" w:rsidRPr="009C1726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355"/>
            <w:bookmarkEnd w:id="9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E2EFF"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ОДПИСНОЙ </w:t>
            </w: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</w:t>
            </w:r>
          </w:p>
        </w:tc>
      </w:tr>
      <w:tr w:rsidR="009C2FD8" w:rsidRPr="009C1726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9C2FD8" w:rsidRPr="009C1726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9C2FD8" w:rsidRPr="009C1726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подпись</w:t>
            </w:r>
          </w:p>
        </w:tc>
      </w:tr>
      <w:tr w:rsidR="009C2FD8" w:rsidRPr="009C1726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инициативной группы:</w:t>
            </w: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личность, подпись и дата подписи)</w:t>
            </w: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личность, подпись и дата подписи)</w:t>
            </w: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Подписной лист удостоверяю:</w:t>
            </w: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 гражданина, собиравшего подписи)</w:t>
            </w:r>
          </w:p>
        </w:tc>
      </w:tr>
      <w:tr w:rsidR="009C2FD8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726" w:rsidRPr="009C1726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C1726" w:rsidRDefault="00A20BD0" w:rsidP="009C2F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</w:tbl>
    <w:p w:rsidR="009C2FD8" w:rsidRPr="009C1726" w:rsidRDefault="009C2FD8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2FD8" w:rsidRPr="009C1726" w:rsidSect="006E2765"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</w:p>
    <w:p w:rsidR="00A20BD0" w:rsidRPr="009C1726" w:rsidRDefault="00A20BD0" w:rsidP="009C2F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выдвижения, внесения,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обсуждения и рассмотрения</w:t>
      </w:r>
    </w:p>
    <w:p w:rsidR="00A20BD0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</w:p>
    <w:p w:rsidR="003E2EFF" w:rsidRPr="009C1726" w:rsidRDefault="00A20BD0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Заброденском</w:t>
      </w:r>
      <w:proofErr w:type="spellEnd"/>
      <w:r w:rsidR="00DE2D31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EFF"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сельском</w:t>
      </w:r>
    </w:p>
    <w:p w:rsidR="00A20BD0" w:rsidRPr="009C1726" w:rsidRDefault="003E2EFF" w:rsidP="009C2F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поселении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419"/>
      <w:bookmarkEnd w:id="10"/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</w:p>
    <w:p w:rsidR="00A20BD0" w:rsidRPr="009C1726" w:rsidRDefault="00A20BD0" w:rsidP="009C2F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726">
        <w:rPr>
          <w:rFonts w:ascii="Times New Roman" w:hAnsi="Times New Roman" w:cs="Times New Roman"/>
          <w:color w:val="000000" w:themeColor="text1"/>
          <w:sz w:val="24"/>
          <w:szCs w:val="24"/>
        </w:rPr>
        <w:t>ОЦЕНКИ ИНИЦИАТИВНОГО ПРОЕКТА</w:t>
      </w:r>
    </w:p>
    <w:p w:rsidR="00A20BD0" w:rsidRPr="009C1726" w:rsidRDefault="00A20BD0" w:rsidP="009C2F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по критерию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Актуальность проблемы: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инициативный проект </w:t>
            </w:r>
            <w:r w:rsidR="003E2EFF"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Охват </w:t>
            </w: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критерий определяется по формуле:</w:t>
            </w:r>
          </w:p>
        </w:tc>
      </w:tr>
      <w:tr w:rsidR="009C2FD8" w:rsidRPr="009C1726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/ </w:t>
            </w: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Nч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</w:tc>
      </w:tr>
      <w:tr w:rsidR="009C2FD8" w:rsidRPr="009C1726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Nч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</w:t>
            </w: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(прямых и косвенных)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 Реалистичность и обоснованность расходов на реализацию инициативного проекта: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C2FD8" w:rsidRPr="009C1726">
        <w:tc>
          <w:tcPr>
            <w:tcW w:w="9060" w:type="dxa"/>
            <w:gridSpan w:val="4"/>
          </w:tcPr>
          <w:p w:rsidR="00A20BD0" w:rsidRPr="009C1726" w:rsidRDefault="00A20BD0" w:rsidP="009C2FD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9C2FD8" w:rsidRPr="009C1726">
        <w:tc>
          <w:tcPr>
            <w:tcW w:w="1247" w:type="dxa"/>
            <w:vMerge w:val="restart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1247" w:type="dxa"/>
            <w:vMerge w:val="restart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2FD8" w:rsidRPr="009C1726">
        <w:tc>
          <w:tcPr>
            <w:tcW w:w="1247" w:type="dxa"/>
            <w:vMerge/>
          </w:tcPr>
          <w:p w:rsidR="00A20BD0" w:rsidRPr="009C1726" w:rsidRDefault="00A20BD0" w:rsidP="009C2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9C1726" w:rsidRDefault="00A20BD0" w:rsidP="009C2F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2FD8" w:rsidRPr="009C1726">
        <w:tc>
          <w:tcPr>
            <w:tcW w:w="3787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9C1726" w:rsidRPr="009C1726">
        <w:tc>
          <w:tcPr>
            <w:tcW w:w="3787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9C1726" w:rsidRDefault="00A20BD0" w:rsidP="009C2F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прошел конкурсный отбор/не прошел </w:t>
            </w:r>
            <w:r w:rsidRPr="009C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конкурсный отбор</w:t>
            </w:r>
          </w:p>
        </w:tc>
      </w:tr>
    </w:tbl>
    <w:p w:rsidR="00BD63C5" w:rsidRPr="009C2FD8" w:rsidRDefault="00BD63C5" w:rsidP="009C2F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63C5" w:rsidRPr="009C2FD8" w:rsidSect="006E2765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F3" w:rsidRDefault="006552F3" w:rsidP="00CE1ED5">
      <w:pPr>
        <w:spacing w:after="0" w:line="240" w:lineRule="auto"/>
      </w:pPr>
      <w:r>
        <w:separator/>
      </w:r>
    </w:p>
  </w:endnote>
  <w:endnote w:type="continuationSeparator" w:id="0">
    <w:p w:rsidR="006552F3" w:rsidRDefault="006552F3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17" w:rsidRDefault="00623217">
    <w:pPr>
      <w:pStyle w:val="a5"/>
      <w:jc w:val="right"/>
    </w:pPr>
  </w:p>
  <w:p w:rsidR="00623217" w:rsidRDefault="00623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F3" w:rsidRDefault="006552F3" w:rsidP="00CE1ED5">
      <w:pPr>
        <w:spacing w:after="0" w:line="240" w:lineRule="auto"/>
      </w:pPr>
      <w:r>
        <w:separator/>
      </w:r>
    </w:p>
  </w:footnote>
  <w:footnote w:type="continuationSeparator" w:id="0">
    <w:p w:rsidR="006552F3" w:rsidRDefault="006552F3" w:rsidP="00CE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533E"/>
    <w:multiLevelType w:val="hybridMultilevel"/>
    <w:tmpl w:val="FDC634DE"/>
    <w:lvl w:ilvl="0" w:tplc="9488A25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0"/>
    <w:rsid w:val="00050478"/>
    <w:rsid w:val="00053A27"/>
    <w:rsid w:val="000B23EF"/>
    <w:rsid w:val="000B583B"/>
    <w:rsid w:val="000B72A6"/>
    <w:rsid w:val="001A6183"/>
    <w:rsid w:val="001F076D"/>
    <w:rsid w:val="001F2D78"/>
    <w:rsid w:val="00214256"/>
    <w:rsid w:val="00227E41"/>
    <w:rsid w:val="00296973"/>
    <w:rsid w:val="002B7302"/>
    <w:rsid w:val="0031518B"/>
    <w:rsid w:val="003168D1"/>
    <w:rsid w:val="003D7516"/>
    <w:rsid w:val="003E2EFF"/>
    <w:rsid w:val="00404F5A"/>
    <w:rsid w:val="00413932"/>
    <w:rsid w:val="00491DEF"/>
    <w:rsid w:val="00515258"/>
    <w:rsid w:val="005F4BAA"/>
    <w:rsid w:val="00623217"/>
    <w:rsid w:val="00634EAA"/>
    <w:rsid w:val="006552F3"/>
    <w:rsid w:val="00667078"/>
    <w:rsid w:val="00672192"/>
    <w:rsid w:val="00684FD8"/>
    <w:rsid w:val="00696287"/>
    <w:rsid w:val="006A4610"/>
    <w:rsid w:val="006A7C38"/>
    <w:rsid w:val="006D7DEE"/>
    <w:rsid w:val="006E2765"/>
    <w:rsid w:val="00745C57"/>
    <w:rsid w:val="00767970"/>
    <w:rsid w:val="007B6797"/>
    <w:rsid w:val="00905AA7"/>
    <w:rsid w:val="009A27D0"/>
    <w:rsid w:val="009C1726"/>
    <w:rsid w:val="009C2FD8"/>
    <w:rsid w:val="009C3893"/>
    <w:rsid w:val="009D61D0"/>
    <w:rsid w:val="00A01B4B"/>
    <w:rsid w:val="00A10FB6"/>
    <w:rsid w:val="00A20BD0"/>
    <w:rsid w:val="00A77429"/>
    <w:rsid w:val="00AB5CBD"/>
    <w:rsid w:val="00AC7945"/>
    <w:rsid w:val="00B01167"/>
    <w:rsid w:val="00BD63C5"/>
    <w:rsid w:val="00BE728E"/>
    <w:rsid w:val="00C035D3"/>
    <w:rsid w:val="00CD0058"/>
    <w:rsid w:val="00CE1ED5"/>
    <w:rsid w:val="00CE5D7B"/>
    <w:rsid w:val="00D0040A"/>
    <w:rsid w:val="00DB256A"/>
    <w:rsid w:val="00DB3E0A"/>
    <w:rsid w:val="00DC4636"/>
    <w:rsid w:val="00DE2D31"/>
    <w:rsid w:val="00DF5E5D"/>
    <w:rsid w:val="00E82616"/>
    <w:rsid w:val="00EB67FD"/>
    <w:rsid w:val="00EC123E"/>
    <w:rsid w:val="00ED1B65"/>
    <w:rsid w:val="00ED3A3E"/>
    <w:rsid w:val="00EE30B8"/>
    <w:rsid w:val="00F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250B"/>
  <w15:docId w15:val="{DB655E8C-9309-4F85-82BC-B8A5461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3" Type="http://schemas.openxmlformats.org/officeDocument/2006/relationships/hyperlink" Target="consultantplus://offline/ref=C760FE0EEFFC73F1CA0CAF96D5581E01DDDB0F8BE06BAC6EA50FE91FBEFBBA8C25ECE134CD0357010B6BE1v87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0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4" Type="http://schemas.openxmlformats.org/officeDocument/2006/relationships/hyperlink" Target="consultantplus://offline/ref=C760FE0EEFFC73F1CA0CAF96D5581E01DCD40A8EE834FB6CF45AE71AB6ABE09C21A5B630D10A4D1F0D75E18D5Bv87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86C9-5497-44AC-BE4E-7FC091DD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21</Pages>
  <Words>6839</Words>
  <Characters>38985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Nota2</cp:lastModifiedBy>
  <cp:revision>20</cp:revision>
  <cp:lastPrinted>2021-06-11T06:50:00Z</cp:lastPrinted>
  <dcterms:created xsi:type="dcterms:W3CDTF">2021-05-21T08:44:00Z</dcterms:created>
  <dcterms:modified xsi:type="dcterms:W3CDTF">2021-06-11T06:51:00Z</dcterms:modified>
</cp:coreProperties>
</file>