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CF" w:rsidRDefault="004C0ACF" w:rsidP="00581894">
      <w:pPr>
        <w:pStyle w:val="ConsTitle"/>
        <w:widowControl/>
        <w:tabs>
          <w:tab w:val="left" w:pos="7710"/>
        </w:tabs>
        <w:ind w:right="0"/>
        <w:rPr>
          <w:rFonts w:ascii="Times New Roman" w:hAnsi="Times New Roman"/>
          <w:sz w:val="28"/>
          <w:szCs w:val="28"/>
        </w:rPr>
      </w:pPr>
    </w:p>
    <w:p w:rsidR="00E1147A" w:rsidRDefault="00E1147A" w:rsidP="00F945BE">
      <w:pPr>
        <w:pStyle w:val="ConsTitle"/>
        <w:widowControl/>
        <w:tabs>
          <w:tab w:val="left" w:pos="8460"/>
        </w:tabs>
        <w:ind w:right="0" w:firstLine="540"/>
        <w:rPr>
          <w:rFonts w:ascii="Times New Roman" w:hAnsi="Times New Roman"/>
          <w:sz w:val="28"/>
          <w:szCs w:val="28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581894" w:rsidRDefault="003800F1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  <w:lang w:val="en-US"/>
        </w:rPr>
      </w:pPr>
      <w:r w:rsidRPr="00C37F8D">
        <w:rPr>
          <w:rFonts w:ascii="Times New Roman" w:hAnsi="Times New Roman"/>
          <w:b w:val="0"/>
          <w:sz w:val="24"/>
          <w:u w:val="single"/>
        </w:rPr>
        <w:t xml:space="preserve"> </w:t>
      </w:r>
      <w:r w:rsidR="00407AE4">
        <w:rPr>
          <w:rFonts w:ascii="Times New Roman" w:hAnsi="Times New Roman"/>
          <w:b w:val="0"/>
          <w:sz w:val="28"/>
          <w:szCs w:val="28"/>
          <w:u w:val="single"/>
        </w:rPr>
        <w:t>о</w:t>
      </w:r>
      <w:r w:rsidRPr="00C37F8D">
        <w:rPr>
          <w:rFonts w:ascii="Times New Roman" w:hAnsi="Times New Roman"/>
          <w:b w:val="0"/>
          <w:sz w:val="28"/>
          <w:szCs w:val="28"/>
          <w:u w:val="single"/>
        </w:rPr>
        <w:t>т</w:t>
      </w:r>
      <w:r w:rsidR="00581894">
        <w:rPr>
          <w:rFonts w:ascii="Times New Roman" w:hAnsi="Times New Roman"/>
          <w:b w:val="0"/>
          <w:sz w:val="28"/>
          <w:szCs w:val="28"/>
          <w:u w:val="single"/>
        </w:rPr>
        <w:t xml:space="preserve"> 26 ноября</w:t>
      </w:r>
      <w:r w:rsidR="00407AE4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E1147A">
        <w:rPr>
          <w:rFonts w:ascii="Times New Roman" w:hAnsi="Times New Roman"/>
          <w:b w:val="0"/>
          <w:sz w:val="28"/>
          <w:szCs w:val="28"/>
          <w:u w:val="single"/>
        </w:rPr>
        <w:t>2020</w:t>
      </w:r>
      <w:r w:rsidR="00A40144" w:rsidRPr="00C37F8D">
        <w:rPr>
          <w:rFonts w:ascii="Times New Roman" w:hAnsi="Times New Roman"/>
          <w:b w:val="0"/>
          <w:sz w:val="28"/>
          <w:szCs w:val="28"/>
          <w:u w:val="single"/>
        </w:rPr>
        <w:t xml:space="preserve"> г.</w:t>
      </w:r>
      <w:r w:rsidRPr="00C37F8D">
        <w:rPr>
          <w:rFonts w:ascii="Times New Roman" w:hAnsi="Times New Roman"/>
          <w:b w:val="0"/>
          <w:sz w:val="28"/>
          <w:szCs w:val="28"/>
          <w:u w:val="single"/>
        </w:rPr>
        <w:t xml:space="preserve"> №</w:t>
      </w:r>
      <w:r w:rsidR="00E1147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581894">
        <w:rPr>
          <w:rFonts w:ascii="Times New Roman" w:hAnsi="Times New Roman"/>
          <w:b w:val="0"/>
          <w:sz w:val="28"/>
          <w:szCs w:val="28"/>
          <w:u w:val="single"/>
          <w:lang w:val="en-US"/>
        </w:rPr>
        <w:t>28</w:t>
      </w:r>
    </w:p>
    <w:p w:rsidR="003800F1" w:rsidRPr="00996185" w:rsidRDefault="003800F1" w:rsidP="00A40144">
      <w:pPr>
        <w:pStyle w:val="ConsTitle"/>
        <w:widowControl/>
        <w:ind w:right="0" w:firstLine="1134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с. Заброды </w:t>
      </w:r>
    </w:p>
    <w:p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6B347F" w:rsidRPr="00E70FCD" w:rsidRDefault="00877C26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налоге на</w:t>
      </w:r>
      <w:r w:rsidR="006B347F" w:rsidRPr="00E70FCD">
        <w:rPr>
          <w:rFonts w:ascii="Times New Roman" w:hAnsi="Times New Roman"/>
          <w:sz w:val="28"/>
          <w:szCs w:val="28"/>
        </w:rPr>
        <w:t xml:space="preserve"> имущество </w:t>
      </w:r>
      <w:bookmarkStart w:id="0" w:name="_GoBack"/>
      <w:bookmarkEnd w:id="0"/>
    </w:p>
    <w:p w:rsidR="006B347F" w:rsidRPr="00E70FCD" w:rsidRDefault="006B347F" w:rsidP="000E494A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E70FCD">
        <w:rPr>
          <w:rFonts w:ascii="Times New Roman" w:hAnsi="Times New Roman"/>
          <w:sz w:val="28"/>
          <w:szCs w:val="28"/>
        </w:rPr>
        <w:t xml:space="preserve">физических </w:t>
      </w:r>
      <w:r w:rsidR="00F945BE">
        <w:rPr>
          <w:rFonts w:ascii="Times New Roman" w:hAnsi="Times New Roman"/>
          <w:sz w:val="28"/>
          <w:szCs w:val="28"/>
        </w:rPr>
        <w:t>лиц</w:t>
      </w:r>
      <w:r w:rsidRPr="00E70FCD">
        <w:rPr>
          <w:rFonts w:ascii="Times New Roman" w:hAnsi="Times New Roman"/>
          <w:sz w:val="28"/>
          <w:szCs w:val="28"/>
        </w:rPr>
        <w:t xml:space="preserve"> </w:t>
      </w:r>
    </w:p>
    <w:p w:rsidR="006B347F" w:rsidRPr="00AE0737" w:rsidRDefault="006B347F" w:rsidP="006B347F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6B347F" w:rsidRPr="005D529B" w:rsidRDefault="006B347F" w:rsidP="005D529B">
      <w:pPr>
        <w:jc w:val="both"/>
        <w:rPr>
          <w:sz w:val="28"/>
          <w:szCs w:val="28"/>
        </w:rPr>
      </w:pPr>
      <w:r>
        <w:tab/>
      </w:r>
      <w:r w:rsidR="00A12D03" w:rsidRPr="005D529B">
        <w:rPr>
          <w:sz w:val="28"/>
          <w:szCs w:val="28"/>
        </w:rPr>
        <w:t xml:space="preserve">В </w:t>
      </w:r>
      <w:r w:rsidRPr="005D529B">
        <w:rPr>
          <w:sz w:val="28"/>
          <w:szCs w:val="28"/>
        </w:rPr>
        <w:t xml:space="preserve">соответствии с </w:t>
      </w:r>
      <w:r w:rsidR="00964D5D" w:rsidRPr="005D529B">
        <w:rPr>
          <w:sz w:val="28"/>
          <w:szCs w:val="28"/>
        </w:rPr>
        <w:t xml:space="preserve">главой 32 </w:t>
      </w:r>
      <w:r w:rsidRPr="005D529B">
        <w:rPr>
          <w:sz w:val="28"/>
          <w:szCs w:val="28"/>
        </w:rPr>
        <w:t>Налогового кодекса Российской Федерации</w:t>
      </w:r>
      <w:r w:rsidR="00964D5D" w:rsidRPr="005D529B">
        <w:rPr>
          <w:sz w:val="28"/>
          <w:szCs w:val="28"/>
        </w:rPr>
        <w:t>, законом Воронежской области от 19.06.2015 г.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8A37B0" w:rsidRPr="005D529B">
        <w:rPr>
          <w:sz w:val="28"/>
          <w:szCs w:val="28"/>
        </w:rPr>
        <w:t>»,</w:t>
      </w:r>
      <w:r w:rsidR="00E073BC">
        <w:rPr>
          <w:sz w:val="28"/>
          <w:szCs w:val="28"/>
        </w:rPr>
        <w:t xml:space="preserve"> </w:t>
      </w:r>
      <w:r w:rsidRPr="005D529B">
        <w:rPr>
          <w:sz w:val="28"/>
          <w:szCs w:val="28"/>
        </w:rPr>
        <w:t xml:space="preserve">Совет народных депутатов Заброденского сельского поселения </w:t>
      </w:r>
      <w:r w:rsidRPr="005D529B">
        <w:rPr>
          <w:b/>
          <w:sz w:val="28"/>
          <w:szCs w:val="28"/>
        </w:rPr>
        <w:t>р е ш и л</w:t>
      </w:r>
      <w:r w:rsidRPr="005D529B">
        <w:rPr>
          <w:sz w:val="28"/>
          <w:szCs w:val="28"/>
        </w:rPr>
        <w:t>:</w:t>
      </w:r>
    </w:p>
    <w:p w:rsidR="006B347F" w:rsidRDefault="006B347F" w:rsidP="006B347F"/>
    <w:p w:rsidR="00F86F99" w:rsidRPr="00C04216" w:rsidRDefault="006B347F" w:rsidP="00B4450C">
      <w:pPr>
        <w:pStyle w:val="a5"/>
        <w:numPr>
          <w:ilvl w:val="0"/>
          <w:numId w:val="1"/>
        </w:numPr>
        <w:tabs>
          <w:tab w:val="clear" w:pos="786"/>
          <w:tab w:val="num" w:pos="-142"/>
          <w:tab w:val="num" w:pos="1134"/>
        </w:tabs>
        <w:ind w:left="0" w:firstLine="567"/>
        <w:jc w:val="both"/>
        <w:rPr>
          <w:sz w:val="28"/>
          <w:szCs w:val="28"/>
        </w:rPr>
      </w:pPr>
      <w:r w:rsidRPr="00C04216">
        <w:rPr>
          <w:sz w:val="28"/>
          <w:szCs w:val="28"/>
        </w:rPr>
        <w:t xml:space="preserve">Установить </w:t>
      </w:r>
      <w:r w:rsidR="008A37B0" w:rsidRPr="00C04216">
        <w:rPr>
          <w:sz w:val="28"/>
          <w:szCs w:val="28"/>
        </w:rPr>
        <w:t>на территории Заброденского сельского поселения Калачеев</w:t>
      </w:r>
      <w:r w:rsidRPr="00C04216">
        <w:rPr>
          <w:sz w:val="28"/>
          <w:szCs w:val="28"/>
        </w:rPr>
        <w:t>с</w:t>
      </w:r>
      <w:r w:rsidR="008A37B0" w:rsidRPr="00C04216">
        <w:rPr>
          <w:sz w:val="28"/>
          <w:szCs w:val="28"/>
        </w:rPr>
        <w:t xml:space="preserve">кого муниципального района </w:t>
      </w:r>
      <w:r w:rsidR="00F86F99" w:rsidRPr="00C04216">
        <w:rPr>
          <w:sz w:val="28"/>
          <w:szCs w:val="28"/>
        </w:rPr>
        <w:t>Воронежской области</w:t>
      </w:r>
      <w:r w:rsidRPr="00C04216">
        <w:rPr>
          <w:sz w:val="28"/>
          <w:szCs w:val="28"/>
        </w:rPr>
        <w:t xml:space="preserve"> </w:t>
      </w:r>
      <w:r w:rsidR="00F86F99" w:rsidRPr="00C04216">
        <w:rPr>
          <w:sz w:val="28"/>
          <w:szCs w:val="28"/>
        </w:rPr>
        <w:t>порядок определения налоговой базы по налогу на имущество физических лиц исходя из кадастровой стоимости объектов налогообложения.</w:t>
      </w:r>
    </w:p>
    <w:p w:rsidR="00D525B6" w:rsidRDefault="00D525B6" w:rsidP="00D525B6">
      <w:pPr>
        <w:tabs>
          <w:tab w:val="num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450C">
        <w:rPr>
          <w:sz w:val="28"/>
          <w:szCs w:val="28"/>
        </w:rPr>
        <w:t>Утвердить с 1</w:t>
      </w:r>
      <w:r w:rsidRPr="000E494A">
        <w:rPr>
          <w:sz w:val="28"/>
          <w:szCs w:val="28"/>
        </w:rPr>
        <w:t xml:space="preserve"> января 20</w:t>
      </w:r>
      <w:r w:rsidR="00E1147A">
        <w:rPr>
          <w:sz w:val="28"/>
          <w:szCs w:val="28"/>
        </w:rPr>
        <w:t>21</w:t>
      </w:r>
      <w:r w:rsidRPr="000E494A">
        <w:rPr>
          <w:sz w:val="28"/>
          <w:szCs w:val="28"/>
        </w:rPr>
        <w:t xml:space="preserve"> г. ставки налога на имущество физических лиц в границах </w:t>
      </w:r>
      <w:proofErr w:type="spellStart"/>
      <w:r w:rsidRPr="000E494A">
        <w:rPr>
          <w:sz w:val="28"/>
          <w:szCs w:val="28"/>
        </w:rPr>
        <w:t>Заброденского</w:t>
      </w:r>
      <w:proofErr w:type="spellEnd"/>
      <w:r w:rsidRPr="000E494A">
        <w:rPr>
          <w:sz w:val="28"/>
          <w:szCs w:val="28"/>
        </w:rPr>
        <w:t xml:space="preserve"> сельского поселения </w:t>
      </w:r>
      <w:proofErr w:type="spellStart"/>
      <w:r w:rsidRPr="000E494A">
        <w:rPr>
          <w:sz w:val="28"/>
          <w:szCs w:val="28"/>
        </w:rPr>
        <w:t>Калачеевского</w:t>
      </w:r>
      <w:proofErr w:type="spellEnd"/>
      <w:r w:rsidRPr="000E494A">
        <w:rPr>
          <w:sz w:val="28"/>
          <w:szCs w:val="28"/>
        </w:rPr>
        <w:t xml:space="preserve"> муниципального района в следующих размерах:</w:t>
      </w:r>
    </w:p>
    <w:p w:rsidR="00D525B6" w:rsidRDefault="00D525B6" w:rsidP="00D525B6">
      <w:pPr>
        <w:tabs>
          <w:tab w:val="num" w:pos="1134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7389"/>
        <w:gridCol w:w="1686"/>
      </w:tblGrid>
      <w:tr w:rsidR="00D525B6" w:rsidRPr="007E1E8C" w:rsidTr="00D869A4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/>
                <w:bCs/>
                <w:sz w:val="26"/>
                <w:szCs w:val="26"/>
              </w:rPr>
            </w:pPr>
            <w:r w:rsidRPr="007E1E8C">
              <w:rPr>
                <w:b/>
                <w:bCs/>
                <w:sz w:val="26"/>
                <w:szCs w:val="26"/>
              </w:rPr>
              <w:t>№</w:t>
            </w:r>
          </w:p>
          <w:p w:rsidR="00D525B6" w:rsidRPr="007E1E8C" w:rsidRDefault="00D525B6" w:rsidP="00D869A4">
            <w:pPr>
              <w:jc w:val="center"/>
              <w:rPr>
                <w:b/>
                <w:bCs/>
                <w:sz w:val="26"/>
                <w:szCs w:val="26"/>
              </w:rPr>
            </w:pPr>
            <w:r w:rsidRPr="007E1E8C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/>
                <w:bCs/>
                <w:sz w:val="26"/>
                <w:szCs w:val="26"/>
              </w:rPr>
            </w:pPr>
            <w:r w:rsidRPr="007E1E8C">
              <w:rPr>
                <w:b/>
                <w:bCs/>
                <w:sz w:val="26"/>
                <w:szCs w:val="26"/>
              </w:rPr>
              <w:t>Объект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/>
                <w:bCs/>
                <w:sz w:val="26"/>
                <w:szCs w:val="26"/>
              </w:rPr>
            </w:pPr>
            <w:r w:rsidRPr="007E1E8C">
              <w:rPr>
                <w:b/>
                <w:bCs/>
                <w:sz w:val="26"/>
                <w:szCs w:val="26"/>
              </w:rPr>
              <w:t>Ставка налога, %</w:t>
            </w:r>
          </w:p>
        </w:tc>
      </w:tr>
      <w:tr w:rsidR="00D525B6" w:rsidRPr="007E1E8C" w:rsidTr="00D869A4">
        <w:trPr>
          <w:trHeight w:val="401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Жилой дом</w:t>
            </w:r>
            <w:r>
              <w:rPr>
                <w:bCs/>
                <w:sz w:val="26"/>
                <w:szCs w:val="26"/>
              </w:rPr>
              <w:t xml:space="preserve"> (часть жилого дома)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0,3</w:t>
            </w:r>
          </w:p>
        </w:tc>
      </w:tr>
      <w:tr w:rsidR="00D525B6" w:rsidRPr="007E1E8C" w:rsidTr="00D869A4">
        <w:trPr>
          <w:trHeight w:val="421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 xml:space="preserve">Жилое помещение (квартира, </w:t>
            </w:r>
            <w:r>
              <w:rPr>
                <w:bCs/>
                <w:sz w:val="26"/>
                <w:szCs w:val="26"/>
              </w:rPr>
              <w:t xml:space="preserve">часть квартиры, </w:t>
            </w:r>
            <w:r w:rsidRPr="007E1E8C">
              <w:rPr>
                <w:bCs/>
                <w:sz w:val="26"/>
                <w:szCs w:val="26"/>
              </w:rPr>
              <w:t>комната)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sz w:val="26"/>
                <w:szCs w:val="26"/>
              </w:rPr>
            </w:pPr>
            <w:r w:rsidRPr="007E1E8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3</w:t>
            </w:r>
          </w:p>
        </w:tc>
      </w:tr>
      <w:tr w:rsidR="00D525B6" w:rsidRPr="007E1E8C" w:rsidTr="00D869A4">
        <w:trPr>
          <w:trHeight w:val="413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 xml:space="preserve">Гараж, </w:t>
            </w:r>
            <w:proofErr w:type="spellStart"/>
            <w:r w:rsidRPr="007E1E8C">
              <w:rPr>
                <w:bCs/>
                <w:sz w:val="26"/>
                <w:szCs w:val="26"/>
              </w:rPr>
              <w:t>машино</w:t>
            </w:r>
            <w:proofErr w:type="spellEnd"/>
            <w:r w:rsidRPr="007E1E8C">
              <w:rPr>
                <w:bCs/>
                <w:sz w:val="26"/>
                <w:szCs w:val="26"/>
              </w:rPr>
              <w:t>-место</w:t>
            </w:r>
            <w:r>
              <w:rPr>
                <w:bCs/>
                <w:sz w:val="26"/>
                <w:szCs w:val="26"/>
              </w:rPr>
              <w:t xml:space="preserve">, в том числе расположенные в объектах налогообложения, указанных в подпункте 2 части 2 статьи 406 </w:t>
            </w:r>
            <w:r w:rsidRPr="007E1E8C">
              <w:rPr>
                <w:bCs/>
                <w:sz w:val="26"/>
                <w:szCs w:val="26"/>
              </w:rPr>
              <w:t>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D525B6" w:rsidRPr="007E1E8C" w:rsidTr="00D869A4">
        <w:trPr>
          <w:trHeight w:val="703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Единый недвижимый комплекс (в состав которого входит хотя бы одно жилое помещение (жилой 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</w:t>
            </w:r>
            <w:r w:rsidR="00582373">
              <w:rPr>
                <w:bCs/>
                <w:sz w:val="26"/>
                <w:szCs w:val="26"/>
              </w:rPr>
              <w:t>3</w:t>
            </w:r>
          </w:p>
        </w:tc>
      </w:tr>
      <w:tr w:rsidR="00D525B6" w:rsidRPr="007E1E8C" w:rsidTr="00D869A4">
        <w:trPr>
          <w:trHeight w:val="98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Объект незавершенного строительства (в случае, если проектируемым назначением такого объекта является жилой дом)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</w:p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D525B6" w:rsidRPr="007E1E8C" w:rsidTr="00D869A4">
        <w:trPr>
          <w:trHeight w:val="131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 xml:space="preserve">Хозяйственные строения или сооружения площадь каждого из которых не превышает 50 </w:t>
            </w:r>
            <w:proofErr w:type="spellStart"/>
            <w:r w:rsidRPr="007E1E8C">
              <w:rPr>
                <w:bCs/>
                <w:sz w:val="26"/>
                <w:szCs w:val="26"/>
              </w:rPr>
              <w:t>кв.м</w:t>
            </w:r>
            <w:proofErr w:type="spellEnd"/>
            <w:r w:rsidRPr="007E1E8C">
              <w:rPr>
                <w:bCs/>
                <w:sz w:val="26"/>
                <w:szCs w:val="26"/>
              </w:rPr>
              <w:t>. и которые расположены на земельных участках, предоставленных для вед</w:t>
            </w:r>
            <w:r w:rsidR="00E1147A">
              <w:rPr>
                <w:bCs/>
                <w:sz w:val="26"/>
                <w:szCs w:val="26"/>
              </w:rPr>
              <w:t>ения личного подсобного</w:t>
            </w:r>
            <w:r w:rsidRPr="007E1E8C">
              <w:rPr>
                <w:bCs/>
                <w:sz w:val="26"/>
                <w:szCs w:val="26"/>
              </w:rPr>
              <w:t xml:space="preserve">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</w:p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</w:p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0,3</w:t>
            </w:r>
          </w:p>
        </w:tc>
      </w:tr>
      <w:tr w:rsidR="00D525B6" w:rsidRPr="007E1E8C" w:rsidTr="00D869A4">
        <w:trPr>
          <w:trHeight w:val="131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lastRenderedPageBreak/>
              <w:t>7.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</w:p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</w:p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</w:p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2,0</w:t>
            </w:r>
          </w:p>
        </w:tc>
      </w:tr>
      <w:tr w:rsidR="00D525B6" w:rsidRPr="007E1E8C" w:rsidTr="00D869A4">
        <w:trPr>
          <w:trHeight w:val="561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7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both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5B6" w:rsidRPr="007E1E8C" w:rsidRDefault="00D525B6" w:rsidP="00D869A4">
            <w:pPr>
              <w:jc w:val="center"/>
              <w:rPr>
                <w:bCs/>
                <w:sz w:val="26"/>
                <w:szCs w:val="26"/>
              </w:rPr>
            </w:pPr>
            <w:r w:rsidRPr="007E1E8C">
              <w:rPr>
                <w:bCs/>
                <w:sz w:val="26"/>
                <w:szCs w:val="26"/>
              </w:rPr>
              <w:t>0,5</w:t>
            </w:r>
          </w:p>
        </w:tc>
      </w:tr>
    </w:tbl>
    <w:p w:rsidR="00D525B6" w:rsidRPr="000E494A" w:rsidRDefault="00D525B6" w:rsidP="00D525B6">
      <w:pPr>
        <w:tabs>
          <w:tab w:val="num" w:pos="0"/>
        </w:tabs>
        <w:jc w:val="both"/>
        <w:rPr>
          <w:sz w:val="28"/>
          <w:szCs w:val="28"/>
        </w:rPr>
      </w:pPr>
    </w:p>
    <w:p w:rsidR="001943D4" w:rsidRPr="00E1147A" w:rsidRDefault="006C6B90" w:rsidP="00E1147A">
      <w:pPr>
        <w:pStyle w:val="a5"/>
        <w:numPr>
          <w:ilvl w:val="0"/>
          <w:numId w:val="2"/>
        </w:numPr>
        <w:spacing w:before="100" w:beforeAutospacing="1"/>
        <w:ind w:left="0" w:firstLine="709"/>
        <w:jc w:val="both"/>
        <w:rPr>
          <w:sz w:val="28"/>
          <w:szCs w:val="28"/>
        </w:rPr>
      </w:pPr>
      <w:r w:rsidRPr="00E1147A">
        <w:rPr>
          <w:sz w:val="28"/>
          <w:szCs w:val="28"/>
        </w:rPr>
        <w:t>Признать утратившим силу решени</w:t>
      </w:r>
      <w:r w:rsidR="003C697F" w:rsidRPr="00E1147A">
        <w:rPr>
          <w:sz w:val="28"/>
          <w:szCs w:val="28"/>
        </w:rPr>
        <w:t>я</w:t>
      </w:r>
      <w:r w:rsidRPr="00E1147A">
        <w:rPr>
          <w:sz w:val="28"/>
          <w:szCs w:val="28"/>
        </w:rPr>
        <w:t xml:space="preserve"> Совета народных депутатов</w:t>
      </w:r>
      <w:r w:rsidR="001943D4" w:rsidRPr="00E1147A">
        <w:rPr>
          <w:sz w:val="28"/>
          <w:szCs w:val="28"/>
        </w:rPr>
        <w:t>:</w:t>
      </w:r>
    </w:p>
    <w:p w:rsidR="001943D4" w:rsidRDefault="001943D4" w:rsidP="00E1147A">
      <w:pPr>
        <w:ind w:firstLine="709"/>
        <w:jc w:val="both"/>
        <w:rPr>
          <w:sz w:val="28"/>
          <w:szCs w:val="28"/>
        </w:rPr>
      </w:pPr>
      <w:r w:rsidRPr="001943D4">
        <w:rPr>
          <w:sz w:val="28"/>
          <w:szCs w:val="28"/>
        </w:rPr>
        <w:t xml:space="preserve">- </w:t>
      </w:r>
      <w:r w:rsidR="004C0ACF" w:rsidRPr="001943D4">
        <w:rPr>
          <w:sz w:val="28"/>
          <w:szCs w:val="28"/>
        </w:rPr>
        <w:t>от</w:t>
      </w:r>
      <w:r w:rsidR="006C6B90" w:rsidRPr="001943D4">
        <w:rPr>
          <w:sz w:val="28"/>
          <w:szCs w:val="28"/>
        </w:rPr>
        <w:t xml:space="preserve"> </w:t>
      </w:r>
      <w:r w:rsidR="00283C45" w:rsidRPr="001943D4">
        <w:rPr>
          <w:sz w:val="28"/>
          <w:szCs w:val="28"/>
        </w:rPr>
        <w:t>2</w:t>
      </w:r>
      <w:r w:rsidR="00E1147A">
        <w:rPr>
          <w:sz w:val="28"/>
          <w:szCs w:val="28"/>
        </w:rPr>
        <w:t>8</w:t>
      </w:r>
      <w:r w:rsidR="006C6B90" w:rsidRPr="001943D4">
        <w:rPr>
          <w:sz w:val="28"/>
          <w:szCs w:val="28"/>
        </w:rPr>
        <w:t>.11.201</w:t>
      </w:r>
      <w:r w:rsidR="00E1147A">
        <w:rPr>
          <w:sz w:val="28"/>
          <w:szCs w:val="28"/>
        </w:rPr>
        <w:t>9</w:t>
      </w:r>
      <w:r w:rsidR="004C0ACF" w:rsidRPr="001943D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1147A">
        <w:rPr>
          <w:sz w:val="28"/>
          <w:szCs w:val="28"/>
        </w:rPr>
        <w:t>№ 235</w:t>
      </w:r>
      <w:r w:rsidR="006C6B90" w:rsidRPr="001943D4">
        <w:rPr>
          <w:sz w:val="28"/>
          <w:szCs w:val="28"/>
        </w:rPr>
        <w:t xml:space="preserve"> «О налоге на</w:t>
      </w:r>
      <w:r w:rsidR="00E1147A">
        <w:rPr>
          <w:sz w:val="28"/>
          <w:szCs w:val="28"/>
        </w:rPr>
        <w:t xml:space="preserve"> имущество физических лиц</w:t>
      </w:r>
      <w:r w:rsidR="006C6B90" w:rsidRPr="001943D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3C697F" w:rsidRPr="001943D4">
        <w:rPr>
          <w:sz w:val="28"/>
          <w:szCs w:val="28"/>
        </w:rPr>
        <w:t xml:space="preserve"> </w:t>
      </w:r>
    </w:p>
    <w:p w:rsidR="006C6B90" w:rsidRPr="001943D4" w:rsidRDefault="001943D4" w:rsidP="00E11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147A">
        <w:rPr>
          <w:sz w:val="28"/>
          <w:szCs w:val="28"/>
        </w:rPr>
        <w:t>от 18.05.2020</w:t>
      </w:r>
      <w:r w:rsidR="003C697F" w:rsidRPr="001943D4">
        <w:rPr>
          <w:sz w:val="28"/>
          <w:szCs w:val="28"/>
        </w:rPr>
        <w:t xml:space="preserve"> года </w:t>
      </w:r>
      <w:r w:rsidR="00E1147A">
        <w:rPr>
          <w:sz w:val="28"/>
          <w:szCs w:val="28"/>
        </w:rPr>
        <w:t>№ 258</w:t>
      </w:r>
      <w:r w:rsidRPr="001943D4">
        <w:rPr>
          <w:sz w:val="28"/>
          <w:szCs w:val="28"/>
        </w:rPr>
        <w:t xml:space="preserve"> </w:t>
      </w:r>
      <w:r w:rsidR="003C697F" w:rsidRPr="001943D4">
        <w:rPr>
          <w:sz w:val="28"/>
          <w:szCs w:val="28"/>
        </w:rPr>
        <w:t xml:space="preserve">«О внесении изменений в решение Совета народных депутатов </w:t>
      </w:r>
      <w:proofErr w:type="spellStart"/>
      <w:r w:rsidR="003C697F" w:rsidRPr="001943D4">
        <w:rPr>
          <w:sz w:val="28"/>
          <w:szCs w:val="28"/>
        </w:rPr>
        <w:t>Заброденского</w:t>
      </w:r>
      <w:proofErr w:type="spellEnd"/>
      <w:r w:rsidR="003C697F" w:rsidRPr="001943D4">
        <w:rPr>
          <w:sz w:val="28"/>
          <w:szCs w:val="28"/>
        </w:rPr>
        <w:t xml:space="preserve"> сельского </w:t>
      </w:r>
      <w:r w:rsidR="00E1147A">
        <w:rPr>
          <w:sz w:val="28"/>
          <w:szCs w:val="28"/>
        </w:rPr>
        <w:t>поселения от 28.11.2019 г. № 235</w:t>
      </w:r>
      <w:r w:rsidR="003C697F" w:rsidRPr="001943D4">
        <w:rPr>
          <w:sz w:val="28"/>
          <w:szCs w:val="28"/>
        </w:rPr>
        <w:t xml:space="preserve"> «О налоге на имущ</w:t>
      </w:r>
      <w:r w:rsidR="00E1147A">
        <w:rPr>
          <w:sz w:val="28"/>
          <w:szCs w:val="28"/>
        </w:rPr>
        <w:t>ество физических лиц</w:t>
      </w:r>
      <w:r w:rsidR="003C697F" w:rsidRPr="001943D4">
        <w:rPr>
          <w:sz w:val="28"/>
          <w:szCs w:val="28"/>
        </w:rPr>
        <w:t xml:space="preserve">». </w:t>
      </w:r>
    </w:p>
    <w:p w:rsidR="006B347F" w:rsidRPr="00E70FCD" w:rsidRDefault="004C0ACF" w:rsidP="00E1147A">
      <w:pPr>
        <w:numPr>
          <w:ilvl w:val="0"/>
          <w:numId w:val="2"/>
        </w:numPr>
        <w:tabs>
          <w:tab w:val="num" w:pos="786"/>
        </w:tabs>
        <w:spacing w:after="100" w:afterAutospacing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6B347F" w:rsidRPr="00E70FCD">
        <w:rPr>
          <w:sz w:val="28"/>
          <w:szCs w:val="28"/>
        </w:rPr>
        <w:t xml:space="preserve"> вступает в силу с 01</w:t>
      </w:r>
      <w:r w:rsidR="00E11ADA">
        <w:rPr>
          <w:sz w:val="28"/>
          <w:szCs w:val="28"/>
        </w:rPr>
        <w:t xml:space="preserve"> января</w:t>
      </w:r>
      <w:r w:rsidR="006B347F" w:rsidRPr="00E70FCD">
        <w:rPr>
          <w:sz w:val="28"/>
          <w:szCs w:val="28"/>
        </w:rPr>
        <w:t xml:space="preserve"> 20</w:t>
      </w:r>
      <w:r w:rsidR="00E1147A">
        <w:rPr>
          <w:sz w:val="28"/>
          <w:szCs w:val="28"/>
        </w:rPr>
        <w:t>21</w:t>
      </w:r>
      <w:r w:rsidR="006B347F" w:rsidRPr="00E70FCD">
        <w:rPr>
          <w:sz w:val="28"/>
          <w:szCs w:val="28"/>
        </w:rPr>
        <w:t xml:space="preserve"> года</w:t>
      </w:r>
      <w:r w:rsidR="00E11ADA">
        <w:rPr>
          <w:sz w:val="28"/>
          <w:szCs w:val="28"/>
        </w:rPr>
        <w:t>, но не ранее чем по истечении одного месяца со дня его официального</w:t>
      </w:r>
      <w:r w:rsidR="006C6B90">
        <w:rPr>
          <w:sz w:val="28"/>
          <w:szCs w:val="28"/>
        </w:rPr>
        <w:t xml:space="preserve"> опубликования</w:t>
      </w:r>
      <w:r w:rsidR="006B347F" w:rsidRPr="00E70FCD">
        <w:rPr>
          <w:sz w:val="28"/>
          <w:szCs w:val="28"/>
        </w:rPr>
        <w:t>.</w:t>
      </w:r>
    </w:p>
    <w:p w:rsidR="006B347F" w:rsidRPr="00E70FCD" w:rsidRDefault="006B347F" w:rsidP="006C2E1A">
      <w:pPr>
        <w:numPr>
          <w:ilvl w:val="0"/>
          <w:numId w:val="2"/>
        </w:numPr>
        <w:tabs>
          <w:tab w:val="num" w:pos="786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6B347F" w:rsidRDefault="006B347F" w:rsidP="006C2E1A">
      <w:pPr>
        <w:numPr>
          <w:ilvl w:val="0"/>
          <w:numId w:val="2"/>
        </w:numPr>
        <w:tabs>
          <w:tab w:val="num" w:pos="786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бюджету</w:t>
      </w:r>
      <w:r w:rsidR="00A54B9C">
        <w:rPr>
          <w:sz w:val="28"/>
          <w:szCs w:val="28"/>
        </w:rPr>
        <w:t>, налогам и муниципальной собственности.</w:t>
      </w:r>
    </w:p>
    <w:p w:rsidR="006B347F" w:rsidRDefault="006B347F" w:rsidP="006B347F">
      <w:pPr>
        <w:rPr>
          <w:b/>
          <w:sz w:val="28"/>
          <w:szCs w:val="28"/>
        </w:rPr>
      </w:pPr>
    </w:p>
    <w:p w:rsidR="000711C2" w:rsidRDefault="000711C2" w:rsidP="006B347F">
      <w:pPr>
        <w:rPr>
          <w:b/>
          <w:sz w:val="28"/>
          <w:szCs w:val="28"/>
        </w:rPr>
      </w:pPr>
    </w:p>
    <w:p w:rsidR="006B347F" w:rsidRPr="00172D5A" w:rsidRDefault="006B347F" w:rsidP="006B347F">
      <w:pPr>
        <w:rPr>
          <w:b/>
          <w:sz w:val="28"/>
          <w:szCs w:val="28"/>
        </w:rPr>
      </w:pPr>
      <w:r w:rsidRPr="00172D5A">
        <w:rPr>
          <w:b/>
          <w:sz w:val="28"/>
          <w:szCs w:val="28"/>
        </w:rPr>
        <w:t xml:space="preserve">Глава </w:t>
      </w:r>
    </w:p>
    <w:p w:rsidR="006B347F" w:rsidRPr="00172D5A" w:rsidRDefault="00A40144" w:rsidP="006B34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</w:t>
      </w:r>
      <w:r w:rsidR="006B347F" w:rsidRPr="00172D5A">
        <w:rPr>
          <w:b/>
          <w:sz w:val="28"/>
          <w:szCs w:val="28"/>
        </w:rPr>
        <w:t>сел</w:t>
      </w:r>
      <w:r w:rsidR="00E1147A">
        <w:rPr>
          <w:b/>
          <w:sz w:val="28"/>
          <w:szCs w:val="28"/>
        </w:rPr>
        <w:t>ьского поселения</w:t>
      </w:r>
      <w:r w:rsidR="00E1147A">
        <w:rPr>
          <w:b/>
          <w:sz w:val="28"/>
          <w:szCs w:val="28"/>
        </w:rPr>
        <w:tab/>
      </w:r>
      <w:r w:rsidR="00E1147A">
        <w:rPr>
          <w:b/>
          <w:sz w:val="28"/>
          <w:szCs w:val="28"/>
        </w:rPr>
        <w:tab/>
      </w:r>
      <w:r w:rsidR="00E1147A">
        <w:rPr>
          <w:b/>
          <w:sz w:val="28"/>
          <w:szCs w:val="28"/>
        </w:rPr>
        <w:tab/>
      </w:r>
      <w:r w:rsidR="00E1147A">
        <w:rPr>
          <w:b/>
          <w:sz w:val="28"/>
          <w:szCs w:val="28"/>
        </w:rPr>
        <w:tab/>
        <w:t>С. А. Исаев</w:t>
      </w:r>
    </w:p>
    <w:p w:rsidR="00B16C0A" w:rsidRDefault="00B16C0A" w:rsidP="006B347F">
      <w:pPr>
        <w:pStyle w:val="ConsTitle"/>
        <w:widowControl/>
        <w:ind w:right="0"/>
        <w:jc w:val="both"/>
      </w:pPr>
    </w:p>
    <w:sectPr w:rsidR="00B16C0A" w:rsidSect="007A2F70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5614F"/>
    <w:multiLevelType w:val="hybridMultilevel"/>
    <w:tmpl w:val="16645066"/>
    <w:lvl w:ilvl="0" w:tplc="3D7AF1C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07773"/>
    <w:rsid w:val="00007BB5"/>
    <w:rsid w:val="000711C2"/>
    <w:rsid w:val="000C0636"/>
    <w:rsid w:val="000E494A"/>
    <w:rsid w:val="00101E41"/>
    <w:rsid w:val="00111397"/>
    <w:rsid w:val="001229D5"/>
    <w:rsid w:val="00157D93"/>
    <w:rsid w:val="00187050"/>
    <w:rsid w:val="001943D4"/>
    <w:rsid w:val="001E66B5"/>
    <w:rsid w:val="00283C45"/>
    <w:rsid w:val="003800F1"/>
    <w:rsid w:val="003C4924"/>
    <w:rsid w:val="003C697F"/>
    <w:rsid w:val="00407AE4"/>
    <w:rsid w:val="00432015"/>
    <w:rsid w:val="004574CE"/>
    <w:rsid w:val="004C0ACF"/>
    <w:rsid w:val="00581894"/>
    <w:rsid w:val="00582373"/>
    <w:rsid w:val="005D529B"/>
    <w:rsid w:val="006806F5"/>
    <w:rsid w:val="006B347F"/>
    <w:rsid w:val="006C2E1A"/>
    <w:rsid w:val="006C6B90"/>
    <w:rsid w:val="00797D1D"/>
    <w:rsid w:val="007A2F70"/>
    <w:rsid w:val="007B6493"/>
    <w:rsid w:val="007D079D"/>
    <w:rsid w:val="00877C26"/>
    <w:rsid w:val="008A37B0"/>
    <w:rsid w:val="008C030A"/>
    <w:rsid w:val="00921E98"/>
    <w:rsid w:val="00964D5D"/>
    <w:rsid w:val="0096684E"/>
    <w:rsid w:val="00986868"/>
    <w:rsid w:val="00992EBF"/>
    <w:rsid w:val="009B3499"/>
    <w:rsid w:val="00A00D8A"/>
    <w:rsid w:val="00A12D03"/>
    <w:rsid w:val="00A40144"/>
    <w:rsid w:val="00A54B9C"/>
    <w:rsid w:val="00AB6994"/>
    <w:rsid w:val="00AD3E0B"/>
    <w:rsid w:val="00B16C0A"/>
    <w:rsid w:val="00B16EF5"/>
    <w:rsid w:val="00B4450C"/>
    <w:rsid w:val="00BF1899"/>
    <w:rsid w:val="00C04216"/>
    <w:rsid w:val="00C37F8D"/>
    <w:rsid w:val="00C7068D"/>
    <w:rsid w:val="00CA683B"/>
    <w:rsid w:val="00CD7C73"/>
    <w:rsid w:val="00D028BE"/>
    <w:rsid w:val="00D3395A"/>
    <w:rsid w:val="00D525B6"/>
    <w:rsid w:val="00E073BC"/>
    <w:rsid w:val="00E1147A"/>
    <w:rsid w:val="00E11ADA"/>
    <w:rsid w:val="00E52DEB"/>
    <w:rsid w:val="00F86F99"/>
    <w:rsid w:val="00F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40261-F562-4DD8-B4CE-C06D2719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C236-D40B-420F-802F-0BA04AC0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VipNet</cp:lastModifiedBy>
  <cp:revision>2</cp:revision>
  <cp:lastPrinted>2020-11-26T06:06:00Z</cp:lastPrinted>
  <dcterms:created xsi:type="dcterms:W3CDTF">2020-11-26T06:07:00Z</dcterms:created>
  <dcterms:modified xsi:type="dcterms:W3CDTF">2020-11-26T06:07:00Z</dcterms:modified>
</cp:coreProperties>
</file>