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0D6" w:rsidRDefault="00CF70D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F70D6" w:rsidRDefault="00CF70D6">
      <w:pPr>
        <w:pStyle w:val="ConsPlusNormal"/>
        <w:outlineLvl w:val="0"/>
      </w:pPr>
    </w:p>
    <w:p w:rsidR="00CF70D6" w:rsidRDefault="00CF70D6">
      <w:pPr>
        <w:pStyle w:val="ConsPlusTitle"/>
        <w:jc w:val="center"/>
        <w:outlineLvl w:val="0"/>
      </w:pPr>
      <w:r>
        <w:t>ПРАВИТЕЛЬСТВО ВОРОНЕЖСКОЙ ОБЛАСТИ</w:t>
      </w:r>
    </w:p>
    <w:p w:rsidR="00CF70D6" w:rsidRDefault="00CF70D6">
      <w:pPr>
        <w:pStyle w:val="ConsPlusTitle"/>
        <w:ind w:firstLine="540"/>
        <w:jc w:val="both"/>
      </w:pPr>
    </w:p>
    <w:p w:rsidR="00CF70D6" w:rsidRDefault="00CF70D6">
      <w:pPr>
        <w:pStyle w:val="ConsPlusTitle"/>
        <w:jc w:val="center"/>
      </w:pPr>
      <w:r>
        <w:t>ПОСТАНОВЛЕНИЕ</w:t>
      </w:r>
    </w:p>
    <w:p w:rsidR="00CF70D6" w:rsidRDefault="00CF70D6">
      <w:pPr>
        <w:pStyle w:val="ConsPlusTitle"/>
        <w:jc w:val="center"/>
      </w:pPr>
      <w:r>
        <w:t>от 17 сентября 2021 г. N 535</w:t>
      </w:r>
    </w:p>
    <w:p w:rsidR="00CF70D6" w:rsidRDefault="00CF70D6">
      <w:pPr>
        <w:pStyle w:val="ConsPlusTitle"/>
        <w:ind w:firstLine="540"/>
        <w:jc w:val="both"/>
      </w:pPr>
    </w:p>
    <w:p w:rsidR="00CF70D6" w:rsidRDefault="00CF70D6">
      <w:pPr>
        <w:pStyle w:val="ConsPlusTitle"/>
        <w:jc w:val="center"/>
      </w:pPr>
      <w:r>
        <w:t>ОБ УТВЕРЖДЕНИИ ПОРЯДКА УТВЕРЖДЕНИЯ ОРГАНАМИ МЕСТНОГО</w:t>
      </w:r>
    </w:p>
    <w:p w:rsidR="00CF70D6" w:rsidRDefault="00CF70D6">
      <w:pPr>
        <w:pStyle w:val="ConsPlusTitle"/>
        <w:jc w:val="center"/>
      </w:pPr>
      <w:r>
        <w:t>САМОУПРАВЛЕНИЯ ПОСЕЛЕНИЙ, ГОРОДСКИХ ОКРУГОВ СХЕМЫ РАЗМЕЩЕНИЯ</w:t>
      </w:r>
    </w:p>
    <w:p w:rsidR="00CF70D6" w:rsidRDefault="00CF70D6">
      <w:pPr>
        <w:pStyle w:val="ConsPlusTitle"/>
        <w:jc w:val="center"/>
      </w:pPr>
      <w:r>
        <w:t>НА ЗЕМЛЯХ ИЛИ ЗЕМЕЛЬНЫХ УЧАСТКАХ, НАХОДЯЩИХСЯ</w:t>
      </w:r>
    </w:p>
    <w:p w:rsidR="00CF70D6" w:rsidRDefault="00CF70D6">
      <w:pPr>
        <w:pStyle w:val="ConsPlusTitle"/>
        <w:jc w:val="center"/>
      </w:pPr>
      <w:r>
        <w:t>В ГОСУДАРСТВЕННОЙ ИЛИ МУНИЦИПАЛЬНОЙ СОБСТВЕННОСТИ, ГАРАЖЕЙ,</w:t>
      </w:r>
    </w:p>
    <w:p w:rsidR="00CF70D6" w:rsidRDefault="00CF70D6">
      <w:pPr>
        <w:pStyle w:val="ConsPlusTitle"/>
        <w:jc w:val="center"/>
      </w:pPr>
      <w:r>
        <w:t>ЯВЛЯЮЩИХСЯ НЕКАПИТАЛЬНЫМИ СООРУЖЕНИЯМИ, ЛИБО СТОЯНКИ</w:t>
      </w:r>
    </w:p>
    <w:p w:rsidR="00CF70D6" w:rsidRDefault="00CF70D6">
      <w:pPr>
        <w:pStyle w:val="ConsPlusTitle"/>
        <w:jc w:val="center"/>
      </w:pPr>
      <w:r>
        <w:t>ТЕХНИЧЕСКИХ ИЛИ ДРУГИХ СРЕДСТВ ПЕРЕДВИЖЕНИЯ ИНВАЛИДОВ ВБЛИЗИ</w:t>
      </w:r>
    </w:p>
    <w:p w:rsidR="00CF70D6" w:rsidRDefault="00CF70D6">
      <w:pPr>
        <w:pStyle w:val="ConsPlusTitle"/>
        <w:jc w:val="center"/>
      </w:pPr>
      <w:r>
        <w:t>ИХ МЕСТА ЖИТЕЛЬСТВА НА ТЕРРИТОРИИ ВОРОНЕЖСКОЙ ОБЛАСТИ</w:t>
      </w:r>
    </w:p>
    <w:p w:rsidR="00CF70D6" w:rsidRDefault="00CF70D6">
      <w:pPr>
        <w:pStyle w:val="ConsPlusNormal"/>
        <w:ind w:firstLine="540"/>
        <w:jc w:val="both"/>
      </w:pPr>
    </w:p>
    <w:p w:rsidR="00CF70D6" w:rsidRDefault="00CF70D6">
      <w:pPr>
        <w:pStyle w:val="ConsPlusNormal"/>
        <w:ind w:firstLine="540"/>
        <w:jc w:val="both"/>
      </w:pPr>
      <w:r>
        <w:t xml:space="preserve">В соответствии со </w:t>
      </w:r>
      <w:hyperlink r:id="rId5" w:history="1">
        <w:r>
          <w:rPr>
            <w:color w:val="0000FF"/>
          </w:rPr>
          <w:t>статьей 5</w:t>
        </w:r>
      </w:hyperlink>
      <w:r>
        <w:t xml:space="preserve"> Федерального закона от 5 апреля 2021 года N 79-ФЗ "О внесении изменений в отдельные законодательные акты Российской Федерации", </w:t>
      </w:r>
      <w:hyperlink r:id="rId6" w:history="1">
        <w:r>
          <w:rPr>
            <w:color w:val="0000FF"/>
          </w:rPr>
          <w:t>частью 1 статьи 39.36-1</w:t>
        </w:r>
      </w:hyperlink>
      <w:r>
        <w:t xml:space="preserve"> Земельного кодекса Российской Федерации правительство Воронежской области постановляет:</w:t>
      </w:r>
    </w:p>
    <w:p w:rsidR="00CF70D6" w:rsidRDefault="00CF70D6">
      <w:pPr>
        <w:pStyle w:val="ConsPlusNormal"/>
        <w:spacing w:before="220"/>
        <w:ind w:firstLine="540"/>
        <w:jc w:val="both"/>
      </w:pPr>
      <w:r>
        <w:t xml:space="preserve">1. Утвердить прилагаемый </w:t>
      </w:r>
      <w:hyperlink w:anchor="P31" w:history="1">
        <w:r>
          <w:rPr>
            <w:color w:val="0000FF"/>
          </w:rPr>
          <w:t>Порядок</w:t>
        </w:r>
      </w:hyperlink>
      <w:r>
        <w:t xml:space="preserve">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Воронежской области.</w:t>
      </w:r>
    </w:p>
    <w:p w:rsidR="00CF70D6" w:rsidRDefault="00CF70D6">
      <w:pPr>
        <w:pStyle w:val="ConsPlusNormal"/>
        <w:spacing w:before="220"/>
        <w:ind w:firstLine="540"/>
        <w:jc w:val="both"/>
      </w:pPr>
      <w:r>
        <w:t>2. Действие настоящего постановления распространяется на правоотношения, возникшие с 01 сентября 2021 года.</w:t>
      </w:r>
    </w:p>
    <w:p w:rsidR="00CF70D6" w:rsidRDefault="00CF70D6">
      <w:pPr>
        <w:pStyle w:val="ConsPlusNormal"/>
        <w:spacing w:before="220"/>
        <w:ind w:firstLine="540"/>
        <w:jc w:val="both"/>
      </w:pPr>
      <w:r>
        <w:t xml:space="preserve">3. Контроль за исполнением настоящего постановления возложить на заместителя губернатора Воронежской области - первого заместителя председателя правительства Воронежской области </w:t>
      </w:r>
      <w:proofErr w:type="spellStart"/>
      <w:r>
        <w:t>Шабалатова</w:t>
      </w:r>
      <w:proofErr w:type="spellEnd"/>
      <w:r>
        <w:t xml:space="preserve"> В.А.</w:t>
      </w:r>
    </w:p>
    <w:p w:rsidR="00CF70D6" w:rsidRDefault="00CF70D6">
      <w:pPr>
        <w:pStyle w:val="ConsPlusNormal"/>
        <w:jc w:val="right"/>
      </w:pPr>
    </w:p>
    <w:p w:rsidR="00CF70D6" w:rsidRDefault="00CF70D6">
      <w:pPr>
        <w:pStyle w:val="ConsPlusNormal"/>
        <w:jc w:val="right"/>
      </w:pPr>
      <w:r>
        <w:t>Губернатор Воронежской области</w:t>
      </w:r>
    </w:p>
    <w:p w:rsidR="00CF70D6" w:rsidRDefault="00CF70D6">
      <w:pPr>
        <w:pStyle w:val="ConsPlusNormal"/>
        <w:jc w:val="right"/>
      </w:pPr>
      <w:r>
        <w:t>А.В.ГУСЕВ</w:t>
      </w:r>
    </w:p>
    <w:p w:rsidR="00CF70D6" w:rsidRDefault="00CF70D6">
      <w:pPr>
        <w:pStyle w:val="ConsPlusNormal"/>
        <w:jc w:val="right"/>
      </w:pPr>
    </w:p>
    <w:p w:rsidR="00CF70D6" w:rsidRDefault="00CF70D6">
      <w:pPr>
        <w:pStyle w:val="ConsPlusNormal"/>
        <w:jc w:val="right"/>
      </w:pPr>
    </w:p>
    <w:p w:rsidR="00CF70D6" w:rsidRDefault="00CF70D6">
      <w:pPr>
        <w:pStyle w:val="ConsPlusNormal"/>
        <w:jc w:val="right"/>
      </w:pPr>
    </w:p>
    <w:p w:rsidR="00CF70D6" w:rsidRDefault="00CF70D6">
      <w:pPr>
        <w:pStyle w:val="ConsPlusNormal"/>
        <w:jc w:val="right"/>
      </w:pPr>
    </w:p>
    <w:p w:rsidR="00CF70D6" w:rsidRDefault="00CF70D6">
      <w:pPr>
        <w:pStyle w:val="ConsPlusNormal"/>
        <w:jc w:val="right"/>
      </w:pPr>
    </w:p>
    <w:p w:rsidR="00CF70D6" w:rsidRDefault="00CF70D6">
      <w:pPr>
        <w:pStyle w:val="ConsPlusNormal"/>
        <w:jc w:val="right"/>
        <w:outlineLvl w:val="0"/>
      </w:pPr>
      <w:r>
        <w:t>Утвержден</w:t>
      </w:r>
    </w:p>
    <w:p w:rsidR="00CF70D6" w:rsidRDefault="00CF70D6">
      <w:pPr>
        <w:pStyle w:val="ConsPlusNormal"/>
        <w:jc w:val="right"/>
      </w:pPr>
      <w:r>
        <w:t>постановлением</w:t>
      </w:r>
    </w:p>
    <w:p w:rsidR="00CF70D6" w:rsidRDefault="00CF70D6">
      <w:pPr>
        <w:pStyle w:val="ConsPlusNormal"/>
        <w:jc w:val="right"/>
      </w:pPr>
      <w:r>
        <w:t>правительства Воронежской области</w:t>
      </w:r>
    </w:p>
    <w:p w:rsidR="00CF70D6" w:rsidRDefault="00CF70D6">
      <w:pPr>
        <w:pStyle w:val="ConsPlusNormal"/>
        <w:jc w:val="right"/>
      </w:pPr>
      <w:r>
        <w:t>от 17.09.2021 N 535</w:t>
      </w:r>
    </w:p>
    <w:p w:rsidR="00CF70D6" w:rsidRDefault="00CF70D6">
      <w:pPr>
        <w:pStyle w:val="ConsPlusNormal"/>
        <w:jc w:val="right"/>
      </w:pPr>
    </w:p>
    <w:p w:rsidR="00CF70D6" w:rsidRDefault="00CF70D6">
      <w:pPr>
        <w:pStyle w:val="ConsPlusTitle"/>
        <w:jc w:val="center"/>
      </w:pPr>
      <w:bookmarkStart w:id="0" w:name="P31"/>
      <w:bookmarkEnd w:id="0"/>
      <w:r>
        <w:t>ПОРЯДОК</w:t>
      </w:r>
    </w:p>
    <w:p w:rsidR="00CF70D6" w:rsidRDefault="00CF70D6">
      <w:pPr>
        <w:pStyle w:val="ConsPlusTitle"/>
        <w:jc w:val="center"/>
      </w:pPr>
      <w:r>
        <w:t>УТВЕРЖДЕНИЯ ОРГАНАМИ МЕСТНОГО САМОУПРАВЛЕНИЯ ПОСЕЛЕНИЙ,</w:t>
      </w:r>
    </w:p>
    <w:p w:rsidR="00CF70D6" w:rsidRDefault="00CF70D6">
      <w:pPr>
        <w:pStyle w:val="ConsPlusTitle"/>
        <w:jc w:val="center"/>
      </w:pPr>
      <w:r>
        <w:t>ГОРОДСКИХ ОКРУГОВ СХЕМЫ РАЗМЕЩЕНИЯ НА ЗЕМЛЯХ ИЛИ ЗЕМЕЛЬНЫХ</w:t>
      </w:r>
    </w:p>
    <w:p w:rsidR="00CF70D6" w:rsidRDefault="00CF70D6">
      <w:pPr>
        <w:pStyle w:val="ConsPlusTitle"/>
        <w:jc w:val="center"/>
      </w:pPr>
      <w:r>
        <w:t>УЧАСТКАХ, НАХОДЯЩИХСЯ В ГОСУДАРСТВЕННОЙ ИЛИ МУНИЦИПАЛЬНОЙ</w:t>
      </w:r>
    </w:p>
    <w:p w:rsidR="00CF70D6" w:rsidRDefault="00CF70D6">
      <w:pPr>
        <w:pStyle w:val="ConsPlusTitle"/>
        <w:jc w:val="center"/>
      </w:pPr>
      <w:r>
        <w:t>СОБСТВЕННОСТИ, ГАРАЖЕЙ, ЯВЛЯЮЩИХСЯ НЕКАПИТАЛЬНЫМИ</w:t>
      </w:r>
    </w:p>
    <w:p w:rsidR="00CF70D6" w:rsidRDefault="00CF70D6">
      <w:pPr>
        <w:pStyle w:val="ConsPlusTitle"/>
        <w:jc w:val="center"/>
      </w:pPr>
      <w:r>
        <w:t>СООРУЖЕНИЯМИ, ЛИБО СТОЯНКИ ТЕХНИЧЕСКИХ ИЛИ ДРУГИХ СРЕДСТВ</w:t>
      </w:r>
    </w:p>
    <w:p w:rsidR="00CF70D6" w:rsidRDefault="00CF70D6">
      <w:pPr>
        <w:pStyle w:val="ConsPlusTitle"/>
        <w:jc w:val="center"/>
      </w:pPr>
      <w:r>
        <w:t>ПЕРЕДВИЖЕНИЯ ИНВАЛИДОВ ВБЛИЗИ ИХ МЕСТА ЖИТЕЛЬСТВА</w:t>
      </w:r>
    </w:p>
    <w:p w:rsidR="00CF70D6" w:rsidRDefault="00CF70D6">
      <w:pPr>
        <w:pStyle w:val="ConsPlusTitle"/>
        <w:jc w:val="center"/>
      </w:pPr>
      <w:r>
        <w:t>НА ТЕРРИТОРИИ ВОРОНЕЖСКОЙ ОБЛАСТИ</w:t>
      </w:r>
    </w:p>
    <w:p w:rsidR="00CF70D6" w:rsidRDefault="00CF70D6">
      <w:pPr>
        <w:pStyle w:val="ConsPlusNormal"/>
        <w:jc w:val="center"/>
      </w:pPr>
    </w:p>
    <w:p w:rsidR="00CF70D6" w:rsidRDefault="00CF70D6">
      <w:pPr>
        <w:pStyle w:val="ConsPlusTitle"/>
        <w:jc w:val="center"/>
        <w:outlineLvl w:val="1"/>
      </w:pPr>
      <w:r>
        <w:lastRenderedPageBreak/>
        <w:t>1. Общие положения</w:t>
      </w:r>
    </w:p>
    <w:p w:rsidR="00CF70D6" w:rsidRDefault="00CF70D6">
      <w:pPr>
        <w:pStyle w:val="ConsPlusNormal"/>
        <w:ind w:firstLine="540"/>
        <w:jc w:val="both"/>
      </w:pPr>
    </w:p>
    <w:p w:rsidR="00CF70D6" w:rsidRDefault="00CF70D6">
      <w:pPr>
        <w:pStyle w:val="ConsPlusNormal"/>
        <w:ind w:firstLine="540"/>
        <w:jc w:val="both"/>
      </w:pPr>
      <w:r>
        <w:t xml:space="preserve">1.1. Настоящий Порядок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Воронежской области (далее - Порядок), разработанный в соответствии со </w:t>
      </w:r>
      <w:hyperlink r:id="rId7" w:history="1">
        <w:r>
          <w:rPr>
            <w:color w:val="0000FF"/>
          </w:rPr>
          <w:t>статьей 5</w:t>
        </w:r>
      </w:hyperlink>
      <w:r>
        <w:t xml:space="preserve"> Федерального закона от 5 апреля 2021 года N 79-ФЗ "О внесении изменений в отдельные законодательные акты Российской Федерации", </w:t>
      </w:r>
      <w:hyperlink r:id="rId8" w:history="1">
        <w:r>
          <w:rPr>
            <w:color w:val="0000FF"/>
          </w:rPr>
          <w:t>частью 1 статьи 39.36-1</w:t>
        </w:r>
      </w:hyperlink>
      <w:r>
        <w:t xml:space="preserve"> Земельного кодекса Российской Федерации, Федеральным </w:t>
      </w:r>
      <w:hyperlink r:id="rId9" w:history="1">
        <w:r>
          <w:rPr>
            <w:color w:val="0000FF"/>
          </w:rPr>
          <w:t>законом</w:t>
        </w:r>
      </w:hyperlink>
      <w:r>
        <w:t xml:space="preserve"> от 25 октября 2001 года N 137-ФЗ "О введении в действие Земельного кодекса Российской Федерации", устанавливает процедуру разработки, утверждения и изменения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Воронежской области.</w:t>
      </w:r>
    </w:p>
    <w:p w:rsidR="00CF70D6" w:rsidRDefault="00CF70D6">
      <w:pPr>
        <w:pStyle w:val="ConsPlusNormal"/>
        <w:spacing w:before="220"/>
        <w:ind w:firstLine="540"/>
        <w:jc w:val="both"/>
      </w:pPr>
      <w:r>
        <w:t>1.2. Размещение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 осуществляется в соответствии со схемой размещения таких объектов, используемых для собственных нужд (далее - схема).</w:t>
      </w:r>
    </w:p>
    <w:p w:rsidR="00CF70D6" w:rsidRDefault="00CF70D6">
      <w:pPr>
        <w:pStyle w:val="ConsPlusNormal"/>
        <w:spacing w:before="220"/>
        <w:ind w:firstLine="540"/>
        <w:jc w:val="both"/>
      </w:pPr>
      <w:r>
        <w:t>Схема разрабатывается и утверждается уполномоченным органом местного самоуправления поселения, городского округа, определенным в соответствии с уставом поселения, городского округа соответственно (далее - уполномоченный орган).</w:t>
      </w:r>
    </w:p>
    <w:p w:rsidR="00CF70D6" w:rsidRDefault="00CF70D6">
      <w:pPr>
        <w:pStyle w:val="ConsPlusNormal"/>
        <w:ind w:firstLine="540"/>
        <w:jc w:val="both"/>
      </w:pPr>
    </w:p>
    <w:p w:rsidR="00CF70D6" w:rsidRDefault="00CF70D6">
      <w:pPr>
        <w:pStyle w:val="ConsPlusTitle"/>
        <w:jc w:val="center"/>
        <w:outlineLvl w:val="1"/>
      </w:pPr>
      <w:bookmarkStart w:id="1" w:name="P46"/>
      <w:bookmarkEnd w:id="1"/>
      <w:r>
        <w:t>2. Требования к разработке и утверждению схемы</w:t>
      </w:r>
    </w:p>
    <w:p w:rsidR="00CF70D6" w:rsidRDefault="00CF70D6">
      <w:pPr>
        <w:pStyle w:val="ConsPlusNormal"/>
        <w:ind w:firstLine="540"/>
        <w:jc w:val="both"/>
      </w:pPr>
    </w:p>
    <w:p w:rsidR="00CF70D6" w:rsidRDefault="00CF70D6">
      <w:pPr>
        <w:pStyle w:val="ConsPlusNormal"/>
        <w:ind w:firstLine="540"/>
        <w:jc w:val="both"/>
      </w:pPr>
      <w:r>
        <w:t>2.1. Схема является единой для поселения, городского округа и утверждается нормативным правовым актом уполномоченного органа сроком на пять лет.</w:t>
      </w:r>
    </w:p>
    <w:p w:rsidR="00CF70D6" w:rsidRDefault="00CF70D6">
      <w:pPr>
        <w:pStyle w:val="ConsPlusNormal"/>
        <w:spacing w:before="220"/>
        <w:ind w:firstLine="540"/>
        <w:jc w:val="both"/>
      </w:pPr>
      <w:r>
        <w:t>2.2. Схема разрабатывается с учетом требований земельного законодательства, нормативных правовых актов в сфере градостроительной деятельности, сохранения, использования и государственной охраны объектов культурного наследия, санитарно-эпидемиологического благополучия населения, пожарной безопасности, безопасности дорожного движения, охраны окружающей среды, благоустройства и иных нормативных правовых актов, устанавливающих обязательные требования к размещению гаражей, являющихся некапитальными сооружениями, либо стоянки технических или других средств передвижения инвалидов вблизи их места жительства.</w:t>
      </w:r>
    </w:p>
    <w:p w:rsidR="00CF70D6" w:rsidRDefault="00CF70D6">
      <w:pPr>
        <w:pStyle w:val="ConsPlusNormal"/>
        <w:spacing w:before="220"/>
        <w:ind w:firstLine="540"/>
        <w:jc w:val="both"/>
      </w:pPr>
      <w:r>
        <w:t>2.3. Схема состоит из текстовой и графической частей.</w:t>
      </w:r>
    </w:p>
    <w:p w:rsidR="00CF70D6" w:rsidRDefault="00CF70D6">
      <w:pPr>
        <w:pStyle w:val="ConsPlusNormal"/>
        <w:spacing w:before="220"/>
        <w:ind w:firstLine="540"/>
        <w:jc w:val="both"/>
      </w:pPr>
      <w:r>
        <w:t>2.3.1. В текстовой части схемы отражается следующая информация:</w:t>
      </w:r>
    </w:p>
    <w:p w:rsidR="00CF70D6" w:rsidRDefault="00CF70D6" w:rsidP="00CF70D6">
      <w:pPr>
        <w:pStyle w:val="ConsPlusNormal"/>
        <w:ind w:firstLine="540"/>
        <w:jc w:val="both"/>
      </w:pPr>
      <w:bookmarkStart w:id="2" w:name="_GoBack"/>
      <w:r>
        <w:t>а) номер гаража, являющегося некапитальным сооружением, либо места стоянки технических или других средств передвижения инвалидов вблизи их места жительства;</w:t>
      </w:r>
    </w:p>
    <w:p w:rsidR="00CF70D6" w:rsidRDefault="00CF70D6" w:rsidP="00CF70D6">
      <w:pPr>
        <w:pStyle w:val="ConsPlusNormal"/>
        <w:ind w:firstLine="540"/>
        <w:jc w:val="both"/>
      </w:pPr>
      <w:r>
        <w:t>б) вид объекта;</w:t>
      </w:r>
    </w:p>
    <w:p w:rsidR="00CF70D6" w:rsidRDefault="00CF70D6" w:rsidP="00CF70D6">
      <w:pPr>
        <w:pStyle w:val="ConsPlusNormal"/>
        <w:ind w:firstLine="540"/>
        <w:jc w:val="both"/>
      </w:pPr>
      <w:r>
        <w:t>в) адресные ориентиры гаража, являющегося некапитальным сооружением, либо места стоянки технических или других средств передвижения инвалидов вблизи их места жительства;</w:t>
      </w:r>
    </w:p>
    <w:p w:rsidR="00CF70D6" w:rsidRDefault="00CF70D6" w:rsidP="00CF70D6">
      <w:pPr>
        <w:pStyle w:val="ConsPlusNormal"/>
        <w:ind w:firstLine="540"/>
        <w:jc w:val="both"/>
      </w:pPr>
      <w:r>
        <w:t>г) площадь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(кв. м).</w:t>
      </w:r>
    </w:p>
    <w:bookmarkEnd w:id="2"/>
    <w:p w:rsidR="00CF70D6" w:rsidRDefault="00CF70D6">
      <w:pPr>
        <w:pStyle w:val="ConsPlusNormal"/>
        <w:spacing w:before="220"/>
        <w:ind w:firstLine="540"/>
        <w:jc w:val="both"/>
      </w:pPr>
      <w:r>
        <w:t xml:space="preserve">2.3.2. Графическая часть схемы разрабатывается в виде копии инженерно-топографического плана в масштабе М 1:500 с обозначением на ней мест расположения гаражей, являющихся </w:t>
      </w:r>
      <w:r>
        <w:lastRenderedPageBreak/>
        <w:t>некапитальными сооружениями, либо стоянки технических или других средств передвижения инвалидов вблизи их места жительства.</w:t>
      </w:r>
    </w:p>
    <w:p w:rsidR="00CF70D6" w:rsidRDefault="00CF70D6">
      <w:pPr>
        <w:pStyle w:val="ConsPlusNormal"/>
        <w:spacing w:before="220"/>
        <w:ind w:firstLine="540"/>
        <w:jc w:val="both"/>
      </w:pPr>
      <w:r>
        <w:t>2.4. Разработка схемы осуществляется уполномоченным органом с учетом предложений органов государственной власти, органов местного самоуправления и граждан.</w:t>
      </w:r>
    </w:p>
    <w:p w:rsidR="00CF70D6" w:rsidRDefault="00CF70D6">
      <w:pPr>
        <w:pStyle w:val="ConsPlusNormal"/>
        <w:spacing w:before="220"/>
        <w:ind w:firstLine="540"/>
        <w:jc w:val="both"/>
      </w:pPr>
      <w:r>
        <w:t>Для организации работы по разработке схемы или внесению в нее изменений уполномоченный орган создает межведомственную комиссию (далее - комиссия). Состав и порядок деятельности комиссии устанавливается нормативным правовым актом органа местного самоуправления соответствующего муниципального образования.</w:t>
      </w:r>
    </w:p>
    <w:p w:rsidR="00CF70D6" w:rsidRDefault="00CF70D6">
      <w:pPr>
        <w:pStyle w:val="ConsPlusNormal"/>
        <w:spacing w:before="220"/>
        <w:ind w:firstLine="540"/>
        <w:jc w:val="both"/>
      </w:pPr>
      <w:r>
        <w:t>2.5. Схема утверждается не позднее чем за 1 месяц до истечения срока действия предыдущей схемы.</w:t>
      </w:r>
    </w:p>
    <w:p w:rsidR="00CF70D6" w:rsidRDefault="00CF70D6">
      <w:pPr>
        <w:pStyle w:val="ConsPlusNormal"/>
        <w:spacing w:before="220"/>
        <w:ind w:firstLine="540"/>
        <w:jc w:val="both"/>
      </w:pPr>
      <w:r>
        <w:t>2.6. Информация о разработке схемы размещается уполномоченным органом в средствах массовой информации, в информационно-телекоммуникационной сети "Интернет" на официальном сайте уполномоченного органа, на территории которого предполагается размещение гаража, являющегося некапитальным сооружением, либо стоянки технических или других средств передвижения инвалидов вблизи их места жительства, не позднее чем за 6 месяцев до срока утверждения схемы.</w:t>
      </w:r>
    </w:p>
    <w:p w:rsidR="00CF70D6" w:rsidRDefault="00CF70D6">
      <w:pPr>
        <w:pStyle w:val="ConsPlusNormal"/>
        <w:spacing w:before="220"/>
        <w:ind w:firstLine="540"/>
        <w:jc w:val="both"/>
      </w:pPr>
      <w:bookmarkStart w:id="3" w:name="P61"/>
      <w:bookmarkEnd w:id="3"/>
      <w:r>
        <w:t>2.7. Органы государственной власти, органы местного самоуправления и граждане (далее - заинтересованные лица) направляют в уполномоченный орган свои предложения относительно мест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w:t>
      </w:r>
    </w:p>
    <w:p w:rsidR="00CF70D6" w:rsidRDefault="00CF70D6">
      <w:pPr>
        <w:pStyle w:val="ConsPlusNormal"/>
        <w:spacing w:before="220"/>
        <w:ind w:firstLine="540"/>
        <w:jc w:val="both"/>
      </w:pPr>
      <w:r>
        <w:t>Предложение заинтересованного лица о включении мест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в схему оформляется в виде заявления, которое должно содержать следующие сведения:</w:t>
      </w:r>
    </w:p>
    <w:p w:rsidR="00CF70D6" w:rsidRDefault="00CF70D6" w:rsidP="00CF70D6">
      <w:pPr>
        <w:pStyle w:val="ConsPlusNormal"/>
        <w:ind w:firstLine="540"/>
        <w:jc w:val="both"/>
      </w:pPr>
      <w:r>
        <w:t>а) вид объекта;</w:t>
      </w:r>
    </w:p>
    <w:p w:rsidR="00CF70D6" w:rsidRDefault="00CF70D6" w:rsidP="00CF70D6">
      <w:pPr>
        <w:pStyle w:val="ConsPlusNormal"/>
        <w:ind w:firstLine="540"/>
        <w:jc w:val="both"/>
      </w:pPr>
      <w:r>
        <w:t>б) адресные ориентиры, площадь места размещения гаража, являющегося некапитальным сооружением, либо стоянки технических или других средств передвижения инвалидов, предлагаемого для включения в схему;</w:t>
      </w:r>
    </w:p>
    <w:p w:rsidR="00CF70D6" w:rsidRDefault="00CF70D6" w:rsidP="00CF70D6">
      <w:pPr>
        <w:pStyle w:val="ConsPlusNormal"/>
        <w:ind w:firstLine="540"/>
        <w:jc w:val="both"/>
      </w:pPr>
      <w:r>
        <w:t>в) технические параметры гаража (размеры), являющегося некапитальным сооружением, предлагаемого для включения в схему;</w:t>
      </w:r>
    </w:p>
    <w:p w:rsidR="00CF70D6" w:rsidRDefault="00CF70D6" w:rsidP="00CF70D6">
      <w:pPr>
        <w:pStyle w:val="ConsPlusNormal"/>
        <w:ind w:firstLine="540"/>
        <w:jc w:val="both"/>
      </w:pPr>
      <w:r>
        <w:t>г) графические материалы (чертеж границ испрашиваемого земельного участка).</w:t>
      </w:r>
    </w:p>
    <w:p w:rsidR="00CF70D6" w:rsidRDefault="00CF70D6" w:rsidP="00CF70D6">
      <w:pPr>
        <w:pStyle w:val="ConsPlusNormal"/>
        <w:ind w:firstLine="540"/>
        <w:jc w:val="both"/>
      </w:pPr>
      <w:r>
        <w:t>Предложения, указанные в настоящем пункте, могут быть поданы в уполномоченный орган в течение 30 календарных дней со дня размещения информации о разработке схемы в средствах массовой информации, в информационно-телекоммуникационной сети "Интернет" на официальном сайте уполномоченного органа, на территории которого предполагается размещение гаража, являющегося некапитальным сооружением, либо стоянки технических или других средств передвижения инвалидов вблизи их места жительства.</w:t>
      </w:r>
    </w:p>
    <w:p w:rsidR="00CF70D6" w:rsidRDefault="00CF70D6">
      <w:pPr>
        <w:pStyle w:val="ConsPlusNormal"/>
        <w:spacing w:before="220"/>
        <w:ind w:firstLine="540"/>
        <w:jc w:val="both"/>
      </w:pPr>
      <w:r>
        <w:t>Предложения, поданные с нарушением требований, установленных настоящим пунктом, уполномоченным органом при разработке проекта схемы не учитываются, о чем уполномоченный орган обязан известить заинтересованных лиц в течение 10 календарных дней со дня регистрации заявлений, поступивших в уполномоченный орган.</w:t>
      </w:r>
    </w:p>
    <w:p w:rsidR="00CF70D6" w:rsidRDefault="00CF70D6">
      <w:pPr>
        <w:pStyle w:val="ConsPlusNormal"/>
        <w:spacing w:before="220"/>
        <w:ind w:firstLine="540"/>
        <w:jc w:val="both"/>
      </w:pPr>
      <w:r>
        <w:t>В течение 30 календарных дней со дня поступления заявлений уполномоченный орган извещает заинтересованных лиц о принятии предложения для разработки проекта схемы.</w:t>
      </w:r>
    </w:p>
    <w:p w:rsidR="00CF70D6" w:rsidRDefault="00CF70D6">
      <w:pPr>
        <w:pStyle w:val="ConsPlusNormal"/>
        <w:spacing w:before="220"/>
        <w:ind w:firstLine="540"/>
        <w:jc w:val="both"/>
      </w:pPr>
      <w:bookmarkStart w:id="4" w:name="P70"/>
      <w:bookmarkEnd w:id="4"/>
      <w:r>
        <w:t xml:space="preserve">2.8. Уполномоченный орган в течение 30 календарных дней со дня регистрации поступивших заявлений разрабатывает проект схемы с учетом предложений заинтересованных лиц и направляет его на согласование в структурные подразделения органов местного самоуправления, </w:t>
      </w:r>
      <w:r>
        <w:lastRenderedPageBreak/>
        <w:t>уполномоченные:</w:t>
      </w:r>
    </w:p>
    <w:p w:rsidR="00CF70D6" w:rsidRDefault="00CF70D6" w:rsidP="00CF70D6">
      <w:pPr>
        <w:pStyle w:val="ConsPlusNormal"/>
        <w:ind w:firstLine="540"/>
        <w:jc w:val="both"/>
      </w:pPr>
      <w:r>
        <w:t>- в области градостроительной деятельности;</w:t>
      </w:r>
    </w:p>
    <w:p w:rsidR="00CF70D6" w:rsidRDefault="00CF70D6" w:rsidP="00CF70D6">
      <w:pPr>
        <w:pStyle w:val="ConsPlusNormal"/>
        <w:ind w:firstLine="540"/>
        <w:jc w:val="both"/>
      </w:pPr>
      <w:r>
        <w:t>- в области земельных отношений;</w:t>
      </w:r>
    </w:p>
    <w:p w:rsidR="00CF70D6" w:rsidRDefault="00CF70D6" w:rsidP="00CF70D6">
      <w:pPr>
        <w:pStyle w:val="ConsPlusNormal"/>
        <w:ind w:firstLine="540"/>
        <w:jc w:val="both"/>
      </w:pPr>
      <w:r>
        <w:t>- в области организации благоустройства;</w:t>
      </w:r>
    </w:p>
    <w:p w:rsidR="00CF70D6" w:rsidRDefault="00CF70D6" w:rsidP="00CF70D6">
      <w:pPr>
        <w:pStyle w:val="ConsPlusNormal"/>
        <w:ind w:firstLine="540"/>
        <w:jc w:val="both"/>
      </w:pPr>
      <w:r>
        <w:t>- в области обеспечения благоприятной окружающей среды;</w:t>
      </w:r>
    </w:p>
    <w:p w:rsidR="00CF70D6" w:rsidRDefault="00CF70D6" w:rsidP="00CF70D6">
      <w:pPr>
        <w:pStyle w:val="ConsPlusNormal"/>
        <w:ind w:firstLine="540"/>
        <w:jc w:val="both"/>
      </w:pPr>
      <w:r>
        <w:t>- в области предоставления транспортных услуг населению и организации транспортного обслуживания населения;</w:t>
      </w:r>
    </w:p>
    <w:p w:rsidR="00CF70D6" w:rsidRDefault="00CF70D6" w:rsidP="00CF70D6">
      <w:pPr>
        <w:pStyle w:val="ConsPlusNormal"/>
        <w:ind w:firstLine="540"/>
        <w:jc w:val="both"/>
      </w:pPr>
      <w:r>
        <w:t>- в области обеспечения безопасности жизнедеятельности населения;</w:t>
      </w:r>
    </w:p>
    <w:p w:rsidR="00CF70D6" w:rsidRDefault="00CF70D6" w:rsidP="00CF70D6">
      <w:pPr>
        <w:pStyle w:val="ConsPlusNormal"/>
        <w:ind w:firstLine="540"/>
        <w:jc w:val="both"/>
      </w:pPr>
      <w:r>
        <w:t>- в области организации дорожной деятельности в отношении автомобильных дорог местного значения.</w:t>
      </w:r>
    </w:p>
    <w:p w:rsidR="00CF70D6" w:rsidRDefault="00CF70D6">
      <w:pPr>
        <w:pStyle w:val="ConsPlusNormal"/>
        <w:spacing w:before="220"/>
        <w:ind w:firstLine="540"/>
        <w:jc w:val="both"/>
      </w:pPr>
      <w:bookmarkStart w:id="5" w:name="P78"/>
      <w:bookmarkEnd w:id="5"/>
      <w:r>
        <w:t>2.9. В случае если проект схемы предусматривает размещение гаражей, являющихся некапитальными сооружениями, либо стоянки технических или других средств передвижения инвалидов вблизи их места жительства:</w:t>
      </w:r>
    </w:p>
    <w:p w:rsidR="00CF70D6" w:rsidRDefault="00CF70D6">
      <w:pPr>
        <w:pStyle w:val="ConsPlusNormal"/>
        <w:spacing w:before="220"/>
        <w:ind w:firstLine="540"/>
        <w:jc w:val="both"/>
      </w:pPr>
      <w:r>
        <w:t>- на территориях объектов культурного наследия или в зонах их охраны, то он подлежит согласованию с исполнительным органом государственной власти Воронежской области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в зависимости от значения объектов культурного наследия (федерального, регионального или местного значения);</w:t>
      </w:r>
    </w:p>
    <w:p w:rsidR="00CF70D6" w:rsidRDefault="00CF70D6">
      <w:pPr>
        <w:pStyle w:val="ConsPlusNormal"/>
        <w:spacing w:before="220"/>
        <w:ind w:firstLine="540"/>
        <w:jc w:val="both"/>
      </w:pPr>
      <w:r>
        <w:t>- на особо охраняемых природных территориях, то он подлежит согласованию с исполнительным органом государственной власти Воронежской области или органом местного самоуправления, уполномоченными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CF70D6" w:rsidRDefault="00CF70D6">
      <w:pPr>
        <w:pStyle w:val="ConsPlusNormal"/>
        <w:spacing w:before="220"/>
        <w:ind w:firstLine="540"/>
        <w:jc w:val="both"/>
      </w:pPr>
      <w:r>
        <w:t>- на земельном участке, находящемся в собственности Российской Федерации, то он подлежит согласованию с Территориальным управлением Федерального агентства по управлению государственным имуществом в Воронежской области;</w:t>
      </w:r>
    </w:p>
    <w:p w:rsidR="00CF70D6" w:rsidRDefault="00CF70D6">
      <w:pPr>
        <w:pStyle w:val="ConsPlusNormal"/>
        <w:spacing w:before="220"/>
        <w:ind w:firstLine="540"/>
        <w:jc w:val="both"/>
      </w:pPr>
      <w:r>
        <w:t>- на земельном участке, находящемся в собственности Воронежской области, то он подлежит согласованию с исполнительным органом государственной власти Воронежской области, уполномоченным в сфере имущественных и земельных отношений на территории Воронежской области.</w:t>
      </w:r>
    </w:p>
    <w:p w:rsidR="00CF70D6" w:rsidRDefault="00CF70D6">
      <w:pPr>
        <w:pStyle w:val="ConsPlusNormal"/>
        <w:spacing w:before="220"/>
        <w:ind w:firstLine="540"/>
        <w:jc w:val="both"/>
      </w:pPr>
      <w:bookmarkStart w:id="6" w:name="P83"/>
      <w:bookmarkEnd w:id="6"/>
      <w:r>
        <w:t xml:space="preserve">2.10. Срок согласования проекта схемы составляет не более 30 календарных дней с даты регистрации входящей корреспонденции в каждом из органов, указанных в </w:t>
      </w:r>
      <w:hyperlink w:anchor="P70" w:history="1">
        <w:r>
          <w:rPr>
            <w:color w:val="0000FF"/>
          </w:rPr>
          <w:t>пунктах 2.8</w:t>
        </w:r>
      </w:hyperlink>
      <w:r>
        <w:t xml:space="preserve"> и </w:t>
      </w:r>
      <w:hyperlink w:anchor="P78" w:history="1">
        <w:r>
          <w:rPr>
            <w:color w:val="0000FF"/>
          </w:rPr>
          <w:t>2.9</w:t>
        </w:r>
      </w:hyperlink>
      <w:r>
        <w:t xml:space="preserve"> настоящего Порядка. Согласование, отказ в согласовании проекта схемы, замечания (предложения) к проекту схемы оформляются письменно и направляются в уполномоченный орган. В случае наличия у согласующих органов возражений относительно мест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данные возражения указываются в письменных замечаниях с обоснованием причин таких возражений.</w:t>
      </w:r>
    </w:p>
    <w:p w:rsidR="00CF70D6" w:rsidRDefault="00CF70D6">
      <w:pPr>
        <w:pStyle w:val="ConsPlusNormal"/>
        <w:spacing w:before="220"/>
        <w:ind w:firstLine="540"/>
        <w:jc w:val="both"/>
      </w:pPr>
      <w:r>
        <w:t>В случае неполучения согласования проекта схемы по истечении 5 календарных дней с даты регистрации входящей корреспонденции в соответствующем согласующем органе проект схемы считается согласованным таким органом.</w:t>
      </w:r>
    </w:p>
    <w:p w:rsidR="00CF70D6" w:rsidRDefault="00CF70D6">
      <w:pPr>
        <w:pStyle w:val="ConsPlusNormal"/>
        <w:spacing w:before="220"/>
        <w:ind w:firstLine="540"/>
        <w:jc w:val="both"/>
      </w:pPr>
      <w:bookmarkStart w:id="7" w:name="P85"/>
      <w:bookmarkEnd w:id="7"/>
      <w:r>
        <w:t xml:space="preserve">2.11. Уполномоченный орган в течение 7 календарных дней со дня истечения срока для согласования проекта схемы, указанного в </w:t>
      </w:r>
      <w:hyperlink w:anchor="P83" w:history="1">
        <w:r>
          <w:rPr>
            <w:color w:val="0000FF"/>
          </w:rPr>
          <w:t>пункте 2.10</w:t>
        </w:r>
      </w:hyperlink>
      <w:r>
        <w:t xml:space="preserve"> настоящего Порядка, направляет его в комиссию с приложением предложений, указанных в </w:t>
      </w:r>
      <w:hyperlink w:anchor="P61" w:history="1">
        <w:r>
          <w:rPr>
            <w:color w:val="0000FF"/>
          </w:rPr>
          <w:t>пункте 2.7</w:t>
        </w:r>
      </w:hyperlink>
      <w:r>
        <w:t xml:space="preserve"> настоящего Порядка, и документов о согласовании или отказе в согласовании проекта схемы, поступивших из согласующих органов.</w:t>
      </w:r>
    </w:p>
    <w:p w:rsidR="00CF70D6" w:rsidRDefault="00CF70D6">
      <w:pPr>
        <w:pStyle w:val="ConsPlusNormal"/>
        <w:spacing w:before="220"/>
        <w:ind w:firstLine="540"/>
        <w:jc w:val="both"/>
      </w:pPr>
      <w:r>
        <w:lastRenderedPageBreak/>
        <w:t xml:space="preserve">2.12. Проект схемы и документы, указанные в </w:t>
      </w:r>
      <w:hyperlink w:anchor="P61" w:history="1">
        <w:r>
          <w:rPr>
            <w:color w:val="0000FF"/>
          </w:rPr>
          <w:t>пунктах 2.7</w:t>
        </w:r>
      </w:hyperlink>
      <w:r>
        <w:t xml:space="preserve">, </w:t>
      </w:r>
      <w:hyperlink w:anchor="P83" w:history="1">
        <w:r>
          <w:rPr>
            <w:color w:val="0000FF"/>
          </w:rPr>
          <w:t>2.10</w:t>
        </w:r>
      </w:hyperlink>
      <w:r>
        <w:t xml:space="preserve"> настоящего Порядка, рассматриваются на заседании комиссии в течение 14 календарных дней со дня их поступления в комиссию.</w:t>
      </w:r>
    </w:p>
    <w:p w:rsidR="00CF70D6" w:rsidRDefault="00CF70D6">
      <w:pPr>
        <w:pStyle w:val="ConsPlusNormal"/>
        <w:spacing w:before="220"/>
        <w:ind w:firstLine="540"/>
        <w:jc w:val="both"/>
      </w:pPr>
      <w:r>
        <w:t xml:space="preserve">2.13. По результатам рассмотрения документов, указанных в </w:t>
      </w:r>
      <w:hyperlink w:anchor="P61" w:history="1">
        <w:r>
          <w:rPr>
            <w:color w:val="0000FF"/>
          </w:rPr>
          <w:t>пунктах 2.7</w:t>
        </w:r>
      </w:hyperlink>
      <w:r>
        <w:t xml:space="preserve">, </w:t>
      </w:r>
      <w:hyperlink w:anchor="P83" w:history="1">
        <w:r>
          <w:rPr>
            <w:color w:val="0000FF"/>
          </w:rPr>
          <w:t>2.10</w:t>
        </w:r>
      </w:hyperlink>
      <w:r>
        <w:t xml:space="preserve"> настоящего Порядка, комиссия принимает решение о включении мест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в схему или отказе во включении.</w:t>
      </w:r>
    </w:p>
    <w:p w:rsidR="00CF70D6" w:rsidRDefault="00CF70D6">
      <w:pPr>
        <w:pStyle w:val="ConsPlusNormal"/>
        <w:spacing w:before="220"/>
        <w:ind w:firstLine="540"/>
        <w:jc w:val="both"/>
      </w:pPr>
      <w:r>
        <w:t>В случае если на одно и то же место заинтересованными лицами подано несколько предложений, то при включении такого места в схему учитывается предложение заинтересованного лица, поданное ранее.</w:t>
      </w:r>
    </w:p>
    <w:p w:rsidR="00CF70D6" w:rsidRDefault="00CF70D6">
      <w:pPr>
        <w:pStyle w:val="ConsPlusNormal"/>
        <w:spacing w:before="220"/>
        <w:ind w:firstLine="540"/>
        <w:jc w:val="both"/>
      </w:pPr>
      <w:r>
        <w:t>2.14. Основанием для отказа во включении мест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в схему является:</w:t>
      </w:r>
    </w:p>
    <w:p w:rsidR="00CF70D6" w:rsidRDefault="00CF70D6">
      <w:pPr>
        <w:pStyle w:val="ConsPlusNormal"/>
        <w:spacing w:before="220"/>
        <w:ind w:firstLine="540"/>
        <w:jc w:val="both"/>
      </w:pPr>
      <w:r>
        <w:t>а) несоответствие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требованиям действующего законодательства;</w:t>
      </w:r>
    </w:p>
    <w:p w:rsidR="00CF70D6" w:rsidRDefault="00CF70D6">
      <w:pPr>
        <w:pStyle w:val="ConsPlusNormal"/>
        <w:spacing w:before="220"/>
        <w:ind w:firstLine="540"/>
        <w:jc w:val="both"/>
      </w:pPr>
      <w:r>
        <w:t>б) земельный участок, на котором планируется размещение гаража, являющегося некапитальным сооружением, либо стоянки технических или других средств передвижения инвалидов вблизи их места жительства, предоставлен физическим или юридическим лицам;</w:t>
      </w:r>
    </w:p>
    <w:p w:rsidR="00CF70D6" w:rsidRDefault="00CF70D6">
      <w:pPr>
        <w:pStyle w:val="ConsPlusNormal"/>
        <w:spacing w:before="220"/>
        <w:ind w:firstLine="540"/>
        <w:jc w:val="both"/>
      </w:pPr>
      <w:r>
        <w:t>в) наличие решения уполномоченного органа государственной власти или органа местного самоуправления в отношении территории, на которой планируется размещение гаража, являющегося некапитальным сооружением, либо стоянки технических или других средств передвижения инвалидов вблизи их места жительства:</w:t>
      </w:r>
    </w:p>
    <w:p w:rsidR="00CF70D6" w:rsidRDefault="00CF70D6">
      <w:pPr>
        <w:pStyle w:val="ConsPlusNormal"/>
        <w:spacing w:before="220"/>
        <w:ind w:firstLine="540"/>
        <w:jc w:val="both"/>
      </w:pPr>
      <w:r>
        <w:t>- о резервировании или изъятии земель (земельных участков) для государственных или муниципальных нужд;</w:t>
      </w:r>
    </w:p>
    <w:p w:rsidR="00CF70D6" w:rsidRDefault="00CF70D6">
      <w:pPr>
        <w:pStyle w:val="ConsPlusNormal"/>
        <w:spacing w:before="220"/>
        <w:ind w:firstLine="540"/>
        <w:jc w:val="both"/>
      </w:pPr>
      <w:r>
        <w:t>- о комплексном освоении, развитии территории;</w:t>
      </w:r>
    </w:p>
    <w:p w:rsidR="00CF70D6" w:rsidRDefault="00CF70D6">
      <w:pPr>
        <w:pStyle w:val="ConsPlusNormal"/>
        <w:spacing w:before="220"/>
        <w:ind w:firstLine="540"/>
        <w:jc w:val="both"/>
      </w:pPr>
      <w:r>
        <w:t>- об утверждении схемы расположения земельного участка на кадастровом плане территории или проекта межевания территории;</w:t>
      </w:r>
    </w:p>
    <w:p w:rsidR="00CF70D6" w:rsidRDefault="00CF70D6">
      <w:pPr>
        <w:pStyle w:val="ConsPlusNormal"/>
        <w:spacing w:before="220"/>
        <w:ind w:firstLine="540"/>
        <w:jc w:val="both"/>
      </w:pPr>
      <w:r>
        <w:t>- о проведении аукциона;</w:t>
      </w:r>
    </w:p>
    <w:p w:rsidR="00CF70D6" w:rsidRDefault="00CF70D6">
      <w:pPr>
        <w:pStyle w:val="ConsPlusNormal"/>
        <w:spacing w:before="220"/>
        <w:ind w:firstLine="540"/>
        <w:jc w:val="both"/>
      </w:pPr>
      <w:r>
        <w:t>- о предварительном согласовании предоставления земельного участка.</w:t>
      </w:r>
    </w:p>
    <w:p w:rsidR="00CF70D6" w:rsidRDefault="00CF70D6">
      <w:pPr>
        <w:pStyle w:val="ConsPlusNormal"/>
        <w:spacing w:before="220"/>
        <w:ind w:firstLine="540"/>
        <w:jc w:val="both"/>
      </w:pPr>
      <w:r>
        <w:t>2.15. Решение комиссии направляется в уполномоченный орган в течение 10 календарных дней со дня его принятия.</w:t>
      </w:r>
    </w:p>
    <w:p w:rsidR="00CF70D6" w:rsidRDefault="00CF70D6">
      <w:pPr>
        <w:pStyle w:val="ConsPlusNormal"/>
        <w:spacing w:before="220"/>
        <w:ind w:firstLine="540"/>
        <w:jc w:val="both"/>
      </w:pPr>
      <w:r>
        <w:t>2.16. Уполномоченный орган в течение 5 календарных дней со дня получения решения комиссии размещает его на официальном сайте органа местного самоуправления в информационно-телекоммуникационной сети "Интернет".</w:t>
      </w:r>
    </w:p>
    <w:p w:rsidR="00CF70D6" w:rsidRDefault="00CF70D6">
      <w:pPr>
        <w:pStyle w:val="ConsPlusNormal"/>
        <w:spacing w:before="220"/>
        <w:ind w:firstLine="540"/>
        <w:jc w:val="both"/>
      </w:pPr>
      <w:bookmarkStart w:id="8" w:name="P100"/>
      <w:bookmarkEnd w:id="8"/>
      <w:r>
        <w:t>2.17. На основании решения комиссии уполномоченный орган местного самоуправления в течение 14 календарных дней со дня получения решения комиссии обязан утвердить схему, официально опубликовать ее в средствах массовой информации и разместить ее на официальном сайте органа местного самоуправления в информационно-телекоммуникационной сети "Интернет".</w:t>
      </w:r>
    </w:p>
    <w:p w:rsidR="00CF70D6" w:rsidRDefault="00CF70D6">
      <w:pPr>
        <w:pStyle w:val="ConsPlusNormal"/>
        <w:spacing w:before="220"/>
        <w:ind w:firstLine="540"/>
        <w:jc w:val="both"/>
      </w:pPr>
      <w:r>
        <w:t xml:space="preserve">В течение 30 календарных дней со дня утверждения схемы уполномоченный орган </w:t>
      </w:r>
      <w:r>
        <w:lastRenderedPageBreak/>
        <w:t>направляет заинтересованным лицам уведомление о включении либо об отказе во включении в схему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w:t>
      </w:r>
    </w:p>
    <w:p w:rsidR="00CF70D6" w:rsidRDefault="00CF70D6">
      <w:pPr>
        <w:pStyle w:val="ConsPlusNormal"/>
        <w:spacing w:before="220"/>
        <w:ind w:firstLine="540"/>
        <w:jc w:val="both"/>
      </w:pPr>
      <w:r>
        <w:t>2.18. Текстовая часть схемы в электронном виде представляется уполномоченным органом в исполнительный орган государственной власти Воронежской области, уполномоченный в сфере имущественных и земельных отношений на территории Воронежской области, не позднее 10 календарных дней после утверждения такой схемы.</w:t>
      </w:r>
    </w:p>
    <w:p w:rsidR="00CF70D6" w:rsidRDefault="00CF70D6">
      <w:pPr>
        <w:pStyle w:val="ConsPlusNormal"/>
        <w:ind w:firstLine="540"/>
        <w:jc w:val="both"/>
      </w:pPr>
    </w:p>
    <w:p w:rsidR="00CF70D6" w:rsidRDefault="00CF70D6">
      <w:pPr>
        <w:pStyle w:val="ConsPlusTitle"/>
        <w:jc w:val="center"/>
        <w:outlineLvl w:val="1"/>
      </w:pPr>
      <w:r>
        <w:t>3. Внесение изменений в схему</w:t>
      </w:r>
    </w:p>
    <w:p w:rsidR="00CF70D6" w:rsidRDefault="00CF70D6">
      <w:pPr>
        <w:pStyle w:val="ConsPlusNormal"/>
        <w:ind w:firstLine="540"/>
        <w:jc w:val="both"/>
      </w:pPr>
    </w:p>
    <w:p w:rsidR="00CF70D6" w:rsidRDefault="00CF70D6">
      <w:pPr>
        <w:pStyle w:val="ConsPlusNormal"/>
        <w:ind w:firstLine="540"/>
        <w:jc w:val="both"/>
      </w:pPr>
      <w:r>
        <w:t xml:space="preserve">3.1. В случае включения или исключения из схемы мест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изменения площади места размещения внесение изменений в схему осуществляется в порядке, установленном </w:t>
      </w:r>
      <w:hyperlink w:anchor="P46" w:history="1">
        <w:r>
          <w:rPr>
            <w:color w:val="0000FF"/>
          </w:rPr>
          <w:t>разделом 2</w:t>
        </w:r>
      </w:hyperlink>
      <w:r>
        <w:t xml:space="preserve"> настоящего Порядка, с особенностями, установленными настоящим разделом.</w:t>
      </w:r>
    </w:p>
    <w:p w:rsidR="00CF70D6" w:rsidRDefault="00CF70D6">
      <w:pPr>
        <w:pStyle w:val="ConsPlusNormal"/>
        <w:spacing w:before="220"/>
        <w:ind w:firstLine="540"/>
        <w:jc w:val="both"/>
      </w:pPr>
      <w:r>
        <w:t>3.2. Исключение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из схемы допускается в следующих случаях:</w:t>
      </w:r>
    </w:p>
    <w:p w:rsidR="00CF70D6" w:rsidRDefault="00CF70D6">
      <w:pPr>
        <w:pStyle w:val="ConsPlusNormal"/>
        <w:spacing w:before="220"/>
        <w:ind w:firstLine="540"/>
        <w:jc w:val="both"/>
      </w:pPr>
      <w:bookmarkStart w:id="9" w:name="P108"/>
      <w:bookmarkEnd w:id="9"/>
      <w:r>
        <w:t>а) место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не востребовано в течение 1 года после включения в схему;</w:t>
      </w:r>
    </w:p>
    <w:p w:rsidR="00CF70D6" w:rsidRDefault="00CF70D6">
      <w:pPr>
        <w:pStyle w:val="ConsPlusNormal"/>
        <w:spacing w:before="220"/>
        <w:ind w:firstLine="540"/>
        <w:jc w:val="both"/>
      </w:pPr>
      <w:bookmarkStart w:id="10" w:name="P109"/>
      <w:bookmarkEnd w:id="10"/>
      <w:r>
        <w:t>б) принятие решения:</w:t>
      </w:r>
    </w:p>
    <w:p w:rsidR="00CF70D6" w:rsidRDefault="00CF70D6">
      <w:pPr>
        <w:pStyle w:val="ConsPlusNormal"/>
        <w:spacing w:before="220"/>
        <w:ind w:firstLine="540"/>
        <w:jc w:val="both"/>
      </w:pPr>
      <w:r>
        <w:t>- об изъятии земельного участка, на котором предусмотрено место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для государственных или муниципальных нужд;</w:t>
      </w:r>
    </w:p>
    <w:p w:rsidR="00CF70D6" w:rsidRDefault="00CF70D6">
      <w:pPr>
        <w:pStyle w:val="ConsPlusNormal"/>
        <w:spacing w:before="220"/>
        <w:ind w:firstLine="540"/>
        <w:jc w:val="both"/>
      </w:pPr>
      <w:r>
        <w:t>- о комплексном освоении, развитии территории, на котором предусмотрено место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w:t>
      </w:r>
    </w:p>
    <w:p w:rsidR="00CF70D6" w:rsidRDefault="00CF70D6">
      <w:pPr>
        <w:pStyle w:val="ConsPlusNormal"/>
        <w:spacing w:before="220"/>
        <w:ind w:firstLine="540"/>
        <w:jc w:val="both"/>
      </w:pPr>
      <w:bookmarkStart w:id="11" w:name="P112"/>
      <w:bookmarkEnd w:id="11"/>
      <w:r>
        <w:t>в) предоставление земельного участка, на котором предусмотрено место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в предусмотренном действующим законодательством порядке;</w:t>
      </w:r>
    </w:p>
    <w:p w:rsidR="00CF70D6" w:rsidRDefault="00CF70D6">
      <w:pPr>
        <w:pStyle w:val="ConsPlusNormal"/>
        <w:spacing w:before="220"/>
        <w:ind w:firstLine="540"/>
        <w:jc w:val="both"/>
      </w:pPr>
      <w:bookmarkStart w:id="12" w:name="P113"/>
      <w:bookmarkEnd w:id="12"/>
      <w:r>
        <w:t>г) место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не соответствует требованиям действующего законодательства;</w:t>
      </w:r>
    </w:p>
    <w:p w:rsidR="00CF70D6" w:rsidRDefault="00CF70D6">
      <w:pPr>
        <w:pStyle w:val="ConsPlusNormal"/>
        <w:spacing w:before="220"/>
        <w:ind w:firstLine="540"/>
        <w:jc w:val="both"/>
      </w:pPr>
      <w:r>
        <w:t>д) отказ заинтересованного лица от места размещения гаража, являющегося некапитальным сооружением, либо стоянки технических или других средств передвижения инвалидов.</w:t>
      </w:r>
    </w:p>
    <w:p w:rsidR="00CF70D6" w:rsidRDefault="00CF70D6">
      <w:pPr>
        <w:pStyle w:val="ConsPlusNormal"/>
        <w:spacing w:before="220"/>
        <w:ind w:firstLine="540"/>
        <w:jc w:val="both"/>
      </w:pPr>
      <w:r>
        <w:t xml:space="preserve">3.3. Исключение места размещения гаража, являющегося некапитальным сооружением, либо стоянки технических или других средств передвижения инвалидов из схемы в случае, предусмотренном </w:t>
      </w:r>
      <w:hyperlink w:anchor="P108" w:history="1">
        <w:r>
          <w:rPr>
            <w:color w:val="0000FF"/>
          </w:rPr>
          <w:t>подпунктом "а" пункта 3.2</w:t>
        </w:r>
      </w:hyperlink>
      <w:r>
        <w:t xml:space="preserve"> настоящего Порядка, осуществляется по инициативе уполномоченного органа.</w:t>
      </w:r>
    </w:p>
    <w:p w:rsidR="00CF70D6" w:rsidRDefault="00CF70D6">
      <w:pPr>
        <w:pStyle w:val="ConsPlusNormal"/>
        <w:spacing w:before="220"/>
        <w:ind w:firstLine="540"/>
        <w:jc w:val="both"/>
      </w:pPr>
      <w:bookmarkStart w:id="13" w:name="P116"/>
      <w:bookmarkEnd w:id="13"/>
      <w:r>
        <w:t xml:space="preserve">3.4. Внесение изменений в схему в части исключения места размещения гаража, являющегося некапитальным сооружением, либо стоянки технических или других средств передвижения инвалидов в случаях, предусмотренных </w:t>
      </w:r>
      <w:hyperlink w:anchor="P109" w:history="1">
        <w:r>
          <w:rPr>
            <w:color w:val="0000FF"/>
          </w:rPr>
          <w:t>подпунктами "б"</w:t>
        </w:r>
      </w:hyperlink>
      <w:r>
        <w:t xml:space="preserve">, </w:t>
      </w:r>
      <w:hyperlink w:anchor="P112" w:history="1">
        <w:r>
          <w:rPr>
            <w:color w:val="0000FF"/>
          </w:rPr>
          <w:t>"в"</w:t>
        </w:r>
      </w:hyperlink>
      <w:r>
        <w:t xml:space="preserve"> и </w:t>
      </w:r>
      <w:hyperlink w:anchor="P113" w:history="1">
        <w:r>
          <w:rPr>
            <w:color w:val="0000FF"/>
          </w:rPr>
          <w:t>"г" пункта 3.2</w:t>
        </w:r>
      </w:hyperlink>
      <w:r>
        <w:t xml:space="preserve"> настоящего Порядка, </w:t>
      </w:r>
      <w:r>
        <w:lastRenderedPageBreak/>
        <w:t>осуществляется с предоставлением лицу, использующему земельный участок на котором расположен гараж, являющийся некапитальным сооружением, либо стоянки технических или других средств передвижения инвалидов, в данном месте, другого места в порядке, установленном уполномоченным органом местного самоуправления.</w:t>
      </w:r>
    </w:p>
    <w:p w:rsidR="00CF70D6" w:rsidRDefault="00CF70D6">
      <w:pPr>
        <w:pStyle w:val="ConsPlusNormal"/>
        <w:spacing w:before="220"/>
        <w:ind w:firstLine="540"/>
        <w:jc w:val="both"/>
      </w:pPr>
      <w:r>
        <w:t xml:space="preserve">3.4.1. Исключение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из схемы в случае, предусмотренном </w:t>
      </w:r>
      <w:hyperlink w:anchor="P109" w:history="1">
        <w:r>
          <w:rPr>
            <w:color w:val="0000FF"/>
          </w:rPr>
          <w:t>подпунктом "б" пункта 3.2</w:t>
        </w:r>
      </w:hyperlink>
      <w:r>
        <w:t xml:space="preserve"> настоящего Порядка, осуществляется по инициативе органа государственной власти или органа местного самоуправления, уполномоченных на изъятие земельных участков для государственных или муниципальных нужд, на принятие решений о комплексном освоении, развитии территории, или правообладателя земельного участка.</w:t>
      </w:r>
    </w:p>
    <w:p w:rsidR="00CF70D6" w:rsidRDefault="00CF70D6">
      <w:pPr>
        <w:pStyle w:val="ConsPlusNormal"/>
        <w:spacing w:before="220"/>
        <w:ind w:firstLine="540"/>
        <w:jc w:val="both"/>
      </w:pPr>
      <w:r>
        <w:t>К заявлению об исключении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из схемы прилагается заверенная в установленном порядке копия решения об изъятии для государственных или муниципальных нужд земельного участка, на котором размещается гараж, являющийся некапитальным сооружением, либо стоянка технических или других средств передвижения инвалидов вблизи их места жительства, либо о комплексном благоустройстве такого земельного участка.</w:t>
      </w:r>
    </w:p>
    <w:p w:rsidR="00CF70D6" w:rsidRDefault="00CF70D6">
      <w:pPr>
        <w:pStyle w:val="ConsPlusNormal"/>
        <w:spacing w:before="220"/>
        <w:ind w:firstLine="540"/>
        <w:jc w:val="both"/>
      </w:pPr>
      <w:r>
        <w:t xml:space="preserve">3.4.2. Исключение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из схемы в случае, предусмотренном </w:t>
      </w:r>
      <w:hyperlink w:anchor="P112" w:history="1">
        <w:r>
          <w:rPr>
            <w:color w:val="0000FF"/>
          </w:rPr>
          <w:t>подпунктом "в" пункта 3.2</w:t>
        </w:r>
      </w:hyperlink>
      <w:r>
        <w:t xml:space="preserve"> настоящего Порядка, осуществляется по инициативе правообладателя земельного участка.</w:t>
      </w:r>
    </w:p>
    <w:p w:rsidR="00CF70D6" w:rsidRDefault="00CF70D6">
      <w:pPr>
        <w:pStyle w:val="ConsPlusNormal"/>
        <w:spacing w:before="220"/>
        <w:ind w:firstLine="540"/>
        <w:jc w:val="both"/>
      </w:pPr>
      <w:r>
        <w:t>К заявлению об исключении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из схемы прилагается заверенная в установленном порядке копия правоустанавливающего документа на земельный участок.</w:t>
      </w:r>
    </w:p>
    <w:p w:rsidR="00CF70D6" w:rsidRDefault="00CF70D6">
      <w:pPr>
        <w:pStyle w:val="ConsPlusNormal"/>
        <w:spacing w:before="220"/>
        <w:ind w:firstLine="540"/>
        <w:jc w:val="both"/>
      </w:pPr>
      <w:r>
        <w:t xml:space="preserve">3.4.3. Исключение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из схемы в случае, предусмотренном </w:t>
      </w:r>
      <w:hyperlink w:anchor="P113" w:history="1">
        <w:r>
          <w:rPr>
            <w:color w:val="0000FF"/>
          </w:rPr>
          <w:t>подпунктом "г" пункта 3.2</w:t>
        </w:r>
      </w:hyperlink>
      <w:r>
        <w:t xml:space="preserve"> настоящего Порядка, осуществляется по инициативе органов государственной власти, органов местного самоуправления, хозяйствующих субъектов и граждан.</w:t>
      </w:r>
    </w:p>
    <w:p w:rsidR="00CF70D6" w:rsidRDefault="00CF70D6">
      <w:pPr>
        <w:pStyle w:val="ConsPlusNormal"/>
        <w:spacing w:before="220"/>
        <w:ind w:firstLine="540"/>
        <w:jc w:val="both"/>
      </w:pPr>
      <w:r>
        <w:t xml:space="preserve">В заявлении об исключении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из схемы указывается обоснование несоответствия действующему законодательству места размещения такого </w:t>
      </w:r>
      <w:proofErr w:type="gramStart"/>
      <w:r>
        <w:t>гаража</w:t>
      </w:r>
      <w:proofErr w:type="gramEnd"/>
      <w:r>
        <w:t xml:space="preserve"> либо стоянки технических или других средств передвижения инвалидов.</w:t>
      </w:r>
    </w:p>
    <w:p w:rsidR="00CF70D6" w:rsidRDefault="00CF70D6">
      <w:pPr>
        <w:pStyle w:val="ConsPlusNormal"/>
        <w:spacing w:before="220"/>
        <w:ind w:firstLine="540"/>
        <w:jc w:val="both"/>
      </w:pPr>
      <w:r>
        <w:t>К заявлению могут быть приложены документы, подтверждающие доводы заявителя, указанные в заявлении.</w:t>
      </w:r>
    </w:p>
    <w:p w:rsidR="00CF70D6" w:rsidRDefault="00CF70D6">
      <w:pPr>
        <w:pStyle w:val="ConsPlusNormal"/>
        <w:spacing w:before="220"/>
        <w:ind w:firstLine="540"/>
        <w:jc w:val="both"/>
      </w:pPr>
      <w:r>
        <w:t>3.5. В течение 30 дней со дня поступления заявления об исключении места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из схемы уполномоченный орган извещает заинтересованных лиц о принятии предложения для внесения изменений в схему.</w:t>
      </w:r>
    </w:p>
    <w:p w:rsidR="00CF70D6" w:rsidRDefault="00CF70D6">
      <w:pPr>
        <w:pStyle w:val="ConsPlusNormal"/>
        <w:spacing w:before="220"/>
        <w:ind w:firstLine="540"/>
        <w:jc w:val="both"/>
      </w:pPr>
      <w:r>
        <w:t xml:space="preserve">В течение 14 календарных дней со дня поступления заявления уполномоченный орган разрабатывает проект изменения схемы и направляет его на согласование с органами местного самоуправления, указанными в </w:t>
      </w:r>
      <w:hyperlink w:anchor="P70" w:history="1">
        <w:r>
          <w:rPr>
            <w:color w:val="0000FF"/>
          </w:rPr>
          <w:t>пунктах 2.8</w:t>
        </w:r>
      </w:hyperlink>
      <w:r>
        <w:t xml:space="preserve">, </w:t>
      </w:r>
      <w:hyperlink w:anchor="P78" w:history="1">
        <w:r>
          <w:rPr>
            <w:color w:val="0000FF"/>
          </w:rPr>
          <w:t>2.9</w:t>
        </w:r>
      </w:hyperlink>
      <w:r>
        <w:t xml:space="preserve"> настоящего Порядка.</w:t>
      </w:r>
    </w:p>
    <w:p w:rsidR="00CF70D6" w:rsidRDefault="00CF70D6">
      <w:pPr>
        <w:pStyle w:val="ConsPlusNormal"/>
        <w:spacing w:before="220"/>
        <w:ind w:firstLine="540"/>
        <w:jc w:val="both"/>
      </w:pPr>
      <w:r>
        <w:t xml:space="preserve">Сроки и порядок согласования проекта изменения схемы, сроки направления проекта </w:t>
      </w:r>
      <w:r>
        <w:lastRenderedPageBreak/>
        <w:t xml:space="preserve">изменения схемы в комиссию устанавливаются в соответствии с </w:t>
      </w:r>
      <w:hyperlink w:anchor="P83" w:history="1">
        <w:r>
          <w:rPr>
            <w:color w:val="0000FF"/>
          </w:rPr>
          <w:t>пунктами 2.10</w:t>
        </w:r>
      </w:hyperlink>
      <w:r>
        <w:t xml:space="preserve">, </w:t>
      </w:r>
      <w:hyperlink w:anchor="P85" w:history="1">
        <w:r>
          <w:rPr>
            <w:color w:val="0000FF"/>
          </w:rPr>
          <w:t>2.11</w:t>
        </w:r>
      </w:hyperlink>
      <w:r>
        <w:t xml:space="preserve"> настоящего Порядка.</w:t>
      </w:r>
    </w:p>
    <w:p w:rsidR="00CF70D6" w:rsidRDefault="00CF70D6">
      <w:pPr>
        <w:pStyle w:val="ConsPlusNormal"/>
        <w:spacing w:before="220"/>
        <w:ind w:firstLine="540"/>
        <w:jc w:val="both"/>
      </w:pPr>
      <w:r>
        <w:t>Проект изменения схемы и прилагаемые к нему документы рассматриваются на заседании комиссии в течение 7 календарных дней со дня их поступления в комиссию.</w:t>
      </w:r>
    </w:p>
    <w:p w:rsidR="00CF70D6" w:rsidRDefault="00CF70D6">
      <w:pPr>
        <w:pStyle w:val="ConsPlusNormal"/>
        <w:spacing w:before="220"/>
        <w:ind w:firstLine="540"/>
        <w:jc w:val="both"/>
      </w:pPr>
      <w:r>
        <w:t>Решение комиссии направляется в уполномоченный орган в течение 5 календарных дней со дня его принятия.</w:t>
      </w:r>
    </w:p>
    <w:p w:rsidR="00CF70D6" w:rsidRDefault="00CF70D6">
      <w:pPr>
        <w:pStyle w:val="ConsPlusNormal"/>
        <w:spacing w:before="220"/>
        <w:ind w:firstLine="540"/>
        <w:jc w:val="both"/>
      </w:pPr>
      <w:r>
        <w:t>Уполномоченный орган в течение 5 календарных дней со дня получения решения комиссии размещает его на официальном сайте органа местного самоуправления в информационно-телекоммуникационной сети "Интернет".</w:t>
      </w:r>
    </w:p>
    <w:p w:rsidR="00CF70D6" w:rsidRDefault="00CF70D6">
      <w:pPr>
        <w:pStyle w:val="ConsPlusNormal"/>
        <w:spacing w:before="220"/>
        <w:ind w:firstLine="540"/>
        <w:jc w:val="both"/>
      </w:pPr>
      <w:r>
        <w:t xml:space="preserve">3.5.1. В случае принятия решения комиссии о внесении изменений в схему уполномоченный орган в срок, установленный </w:t>
      </w:r>
      <w:hyperlink w:anchor="P100" w:history="1">
        <w:r>
          <w:rPr>
            <w:color w:val="0000FF"/>
          </w:rPr>
          <w:t>пунктом 2.17</w:t>
        </w:r>
      </w:hyperlink>
      <w:r>
        <w:t xml:space="preserve"> настоящего Порядка, утверждает внесение изменений в схему, осуществляет официальное опубликование решения о внесении изменений в схему в средствах массовой информации и размещает его на официальном сайте органа местного самоуправления в информационно-телекоммуникационной сети "Интернет".</w:t>
      </w:r>
    </w:p>
    <w:p w:rsidR="00CF70D6" w:rsidRDefault="00CF70D6">
      <w:pPr>
        <w:pStyle w:val="ConsPlusNormal"/>
        <w:spacing w:before="220"/>
        <w:ind w:firstLine="540"/>
        <w:jc w:val="both"/>
      </w:pPr>
      <w:r>
        <w:t>В течение 5 календарных дней со дня утверждения решения о внесении изменений в схему уполномоченный орган местного самоуправления уведомляет заинтересованных лиц о внесении изменений в схему.</w:t>
      </w:r>
    </w:p>
    <w:p w:rsidR="00CF70D6" w:rsidRDefault="00CF70D6">
      <w:pPr>
        <w:pStyle w:val="ConsPlusNormal"/>
        <w:spacing w:before="220"/>
        <w:ind w:firstLine="540"/>
        <w:jc w:val="both"/>
      </w:pPr>
      <w:r>
        <w:t xml:space="preserve">В случае если место размещения гаража, являющегося некапитальным сооружением, либо стоянки технических или других средств передвижения инвалидов вблизи их места жительства, исключенное из схемы, используется (предоставлено), в течение 3 календарных дней со дня принятия решения о внесении изменений в схему уполномоченный орган направляет лицу, использующему земельный участок для размещения гаража, являющегося некапитальным сооружением, либо для стоянки технических или других средств передвижения инвалидов вблизи их места жительства, в данном месте, уведомление об исключении такого места из схемы и начале процедур, связанных с предоставлением такому лицу компенсационного места, в соответствии с </w:t>
      </w:r>
      <w:hyperlink w:anchor="P116" w:history="1">
        <w:r>
          <w:rPr>
            <w:color w:val="0000FF"/>
          </w:rPr>
          <w:t>пунктом 3.4</w:t>
        </w:r>
      </w:hyperlink>
      <w:r>
        <w:t xml:space="preserve"> настоящего Порядка.</w:t>
      </w:r>
    </w:p>
    <w:p w:rsidR="00CF70D6" w:rsidRDefault="00CF70D6">
      <w:pPr>
        <w:pStyle w:val="ConsPlusNormal"/>
        <w:spacing w:before="220"/>
        <w:ind w:firstLine="540"/>
        <w:jc w:val="both"/>
      </w:pPr>
      <w:r>
        <w:t xml:space="preserve">Решение о внесении </w:t>
      </w:r>
      <w:proofErr w:type="gramStart"/>
      <w:r>
        <w:t>изменений в схему</w:t>
      </w:r>
      <w:proofErr w:type="gramEnd"/>
      <w:r>
        <w:t xml:space="preserve"> и текстовая часть схемы в электронном виде представляются уполномоченным органом в исполнительный орган государственной власти Воронежской области, уполномоченный в сфере имущественных и земельных отношений на территории Воронежской области, не позднее 10 календарных дней после утверждения данного решения.</w:t>
      </w:r>
    </w:p>
    <w:p w:rsidR="00CF70D6" w:rsidRDefault="00CF70D6">
      <w:pPr>
        <w:pStyle w:val="ConsPlusNormal"/>
        <w:spacing w:before="220"/>
        <w:ind w:firstLine="540"/>
        <w:jc w:val="both"/>
      </w:pPr>
      <w:r>
        <w:t>3.5.2. В случае принятия комиссией решения об отказе во внесении изменений в схему уполномоченный орган в течение 5 календарных дней со дня поступления решения комиссии об отказе во внесении изменений в схему уведомляет заинтересованных лиц об отказе во внесении изменений в схему.</w:t>
      </w:r>
    </w:p>
    <w:p w:rsidR="00CF70D6" w:rsidRDefault="00CF70D6">
      <w:pPr>
        <w:pStyle w:val="ConsPlusNormal"/>
        <w:spacing w:before="220"/>
        <w:ind w:firstLine="540"/>
        <w:jc w:val="both"/>
      </w:pPr>
      <w:r>
        <w:t>3.6. Правовые акты о внесении изменений в схему подлежат официальному опубликованию в средствах массовой информации и размещению на официальном сайте органа местного самоуправления в информационно-телекоммуникационной сети "Интернет".</w:t>
      </w:r>
    </w:p>
    <w:p w:rsidR="00CF70D6" w:rsidRDefault="00CF70D6">
      <w:pPr>
        <w:pStyle w:val="ConsPlusNormal"/>
        <w:spacing w:before="220"/>
        <w:ind w:firstLine="540"/>
        <w:jc w:val="both"/>
      </w:pPr>
      <w:r>
        <w:t>Не позднее 10 календарных дней после принятия правового акта о внесении изменений в схему актуализированная версия текстовой части схемы в электронном виде представляется уполномоченным органом в исполнительный орган государственной власти Воронежской области, уполномоченный в сфере имущественных и земельных отношений на территории Воронежской области.</w:t>
      </w:r>
    </w:p>
    <w:p w:rsidR="00CF70D6" w:rsidRDefault="00CF70D6">
      <w:pPr>
        <w:pStyle w:val="ConsPlusNormal"/>
        <w:ind w:firstLine="540"/>
        <w:jc w:val="both"/>
      </w:pPr>
    </w:p>
    <w:p w:rsidR="00CF70D6" w:rsidRDefault="00CF70D6">
      <w:pPr>
        <w:pStyle w:val="ConsPlusNormal"/>
        <w:ind w:firstLine="540"/>
        <w:jc w:val="both"/>
      </w:pPr>
    </w:p>
    <w:p w:rsidR="00CF70D6" w:rsidRDefault="00CF70D6">
      <w:pPr>
        <w:pStyle w:val="ConsPlusNormal"/>
        <w:pBdr>
          <w:top w:val="single" w:sz="6" w:space="0" w:color="auto"/>
        </w:pBdr>
        <w:spacing w:before="100" w:after="100"/>
        <w:jc w:val="both"/>
        <w:rPr>
          <w:sz w:val="2"/>
          <w:szCs w:val="2"/>
        </w:rPr>
      </w:pPr>
    </w:p>
    <w:p w:rsidR="001D682F" w:rsidRDefault="001D682F"/>
    <w:sectPr w:rsidR="001D682F" w:rsidSect="00766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D6"/>
    <w:rsid w:val="001D682F"/>
    <w:rsid w:val="00CF7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651A2-CBCC-488E-B0CF-07423214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0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70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70D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F70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7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3F803C5732F42A52795A5747BDA7462FB49F44AFE7E39BAF0D539D0E167D43A15960255F12156E25CC9BA7C4281754C85997FE76DZ0T6H" TargetMode="External"/><Relationship Id="rId3" Type="http://schemas.openxmlformats.org/officeDocument/2006/relationships/webSettings" Target="webSettings.xml"/><Relationship Id="rId7" Type="http://schemas.openxmlformats.org/officeDocument/2006/relationships/hyperlink" Target="consultantplus://offline/ref=1F63F803C5732F42A52795A5747BDA7465F24EF545FC7E39BAF0D539D0E167D43A15960156F1275CBF06D9BE35178E6B4E9D877BF96D04B6Z5T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F63F803C5732F42A52795A5747BDA7462FB49F44AFE7E39BAF0D539D0E167D43A15960255F12156E25CC9BA7C4281754C85997FE76DZ0T6H" TargetMode="External"/><Relationship Id="rId11" Type="http://schemas.openxmlformats.org/officeDocument/2006/relationships/theme" Target="theme/theme1.xml"/><Relationship Id="rId5" Type="http://schemas.openxmlformats.org/officeDocument/2006/relationships/hyperlink" Target="consultantplus://offline/ref=1F63F803C5732F42A52795A5747BDA7465F24EF545FC7E39BAF0D539D0E167D43A15960156F1275CBF06D9BE35178E6B4E9D877BF96D04B6Z5T4H"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F63F803C5732F42A52795A5747BDA7462FB49F44BF87E39BAF0D539D0E167D42815CE0D56F3395DB0138FEF73Z4T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3898</Words>
  <Characters>22221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1</cp:revision>
  <cp:lastPrinted>2022-06-02T07:22:00Z</cp:lastPrinted>
  <dcterms:created xsi:type="dcterms:W3CDTF">2022-06-02T07:19:00Z</dcterms:created>
  <dcterms:modified xsi:type="dcterms:W3CDTF">2022-06-02T07:25:00Z</dcterms:modified>
</cp:coreProperties>
</file>