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F9201E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F9201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F9201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F9201E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F9201E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F9201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F9201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F9201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F9201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F9201E">
      <w:pPr>
        <w:pStyle w:val="ConsPlusNormal"/>
        <w:numPr>
          <w:ilvl w:val="0"/>
          <w:numId w:val="3"/>
        </w:numPr>
        <w:tabs>
          <w:tab w:val="left" w:pos="567"/>
        </w:tabs>
        <w:ind w:left="0" w:firstLine="709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0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F9201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F9201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F9201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F9201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F9201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F9201E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F9201E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F9201E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F9201E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</w:t>
      </w:r>
      <w:r w:rsidRPr="002E3630">
        <w:rPr>
          <w:rFonts w:ascii="Times New Roman" w:hAnsi="Times New Roman"/>
          <w:sz w:val="28"/>
          <w:szCs w:val="28"/>
        </w:rPr>
        <w:lastRenderedPageBreak/>
        <w:t>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F9201E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F9201E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F9201E">
      <w:pPr>
        <w:pStyle w:val="aa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F9201E">
      <w:pPr>
        <w:pStyle w:val="aa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F9201E">
      <w:pPr>
        <w:pStyle w:val="aa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F9201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F9201E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F9201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890F31">
      <w:pPr>
        <w:pStyle w:val="aa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</w:t>
      </w:r>
      <w:r w:rsidRPr="002E3630">
        <w:rPr>
          <w:rFonts w:ascii="Times New Roman" w:hAnsi="Times New Roman"/>
          <w:sz w:val="28"/>
          <w:szCs w:val="28"/>
        </w:rPr>
        <w:lastRenderedPageBreak/>
        <w:t>срока, указанного в пункте 7 настоящих Методических рекомендаций.</w:t>
      </w:r>
    </w:p>
    <w:p w:rsidR="00DA1458" w:rsidRPr="002E3630" w:rsidRDefault="00980A5D" w:rsidP="00890F31">
      <w:pPr>
        <w:widowControl w:val="0"/>
        <w:tabs>
          <w:tab w:val="left" w:pos="709"/>
        </w:tabs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890F31">
      <w:pPr>
        <w:pStyle w:val="aa"/>
        <w:widowControl w:val="0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890F31">
      <w:pPr>
        <w:pStyle w:val="aa"/>
        <w:widowControl w:val="0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890F31">
      <w:pPr>
        <w:pStyle w:val="aa"/>
        <w:widowControl w:val="0"/>
        <w:numPr>
          <w:ilvl w:val="0"/>
          <w:numId w:val="5"/>
        </w:numPr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890F31">
      <w:pPr>
        <w:pStyle w:val="aa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890F31">
      <w:pPr>
        <w:pStyle w:val="aa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890F31">
      <w:pPr>
        <w:pStyle w:val="aa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170C14">
      <w:pPr>
        <w:pStyle w:val="aa"/>
        <w:widowControl w:val="0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890F31">
      <w:pPr>
        <w:widowControl w:val="0"/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890F31">
      <w:pPr>
        <w:pStyle w:val="aa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890F31">
      <w:pPr>
        <w:widowControl w:val="0"/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890F31">
      <w:pPr>
        <w:widowControl w:val="0"/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F9201E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F9201E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170C14">
      <w:pPr>
        <w:pStyle w:val="aa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F9201E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F9201E">
      <w:pPr>
        <w:pStyle w:val="aa"/>
        <w:tabs>
          <w:tab w:val="left" w:pos="567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 xml:space="preserve">предшествующий году </w:t>
      </w:r>
      <w:r w:rsidR="000D57F7" w:rsidRPr="002E3630">
        <w:rPr>
          <w:rFonts w:ascii="Times New Roman" w:hAnsi="Times New Roman"/>
          <w:sz w:val="28"/>
          <w:szCs w:val="28"/>
        </w:rPr>
        <w:lastRenderedPageBreak/>
        <w:t>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F9201E">
      <w:pPr>
        <w:pStyle w:val="aa"/>
        <w:tabs>
          <w:tab w:val="left" w:pos="567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F9201E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F9201E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F9201E">
      <w:pPr>
        <w:tabs>
          <w:tab w:val="left" w:pos="567"/>
          <w:tab w:val="left" w:pos="1276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F9201E">
      <w:pPr>
        <w:pStyle w:val="aa"/>
        <w:tabs>
          <w:tab w:val="left" w:pos="567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F9201E">
      <w:pPr>
        <w:tabs>
          <w:tab w:val="left" w:pos="567"/>
          <w:tab w:val="left" w:pos="1276"/>
        </w:tabs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F9201E">
      <w:pPr>
        <w:tabs>
          <w:tab w:val="left" w:pos="567"/>
          <w:tab w:val="left" w:pos="1276"/>
        </w:tabs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F9201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F9201E">
      <w:pPr>
        <w:pStyle w:val="aa"/>
        <w:numPr>
          <w:ilvl w:val="0"/>
          <w:numId w:val="7"/>
        </w:numPr>
        <w:tabs>
          <w:tab w:val="left" w:pos="567"/>
        </w:tabs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F9201E">
      <w:pPr>
        <w:pStyle w:val="aa"/>
        <w:numPr>
          <w:ilvl w:val="0"/>
          <w:numId w:val="7"/>
        </w:numPr>
        <w:tabs>
          <w:tab w:val="left" w:pos="567"/>
        </w:tabs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F9201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804"/>
      </w:tblGrid>
      <w:tr w:rsidR="00664171" w:rsidRPr="00E00F6B" w:rsidTr="00F9201E">
        <w:tc>
          <w:tcPr>
            <w:tcW w:w="10206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F9201E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804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F9201E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804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F9201E">
        <w:tc>
          <w:tcPr>
            <w:tcW w:w="10206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F9201E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804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F9201E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804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F9201E">
      <w:pPr>
        <w:pStyle w:val="aa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F9201E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804"/>
      </w:tblGrid>
      <w:tr w:rsidR="007215ED" w:rsidRPr="00E00F6B" w:rsidTr="00F9201E">
        <w:trPr>
          <w:trHeight w:val="435"/>
        </w:trPr>
        <w:tc>
          <w:tcPr>
            <w:tcW w:w="10206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F9201E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804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F9201E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804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F9201E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804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F9201E">
        <w:trPr>
          <w:trHeight w:val="435"/>
        </w:trPr>
        <w:tc>
          <w:tcPr>
            <w:tcW w:w="10206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F9201E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804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года) гражданин не состоял в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браке</w:t>
            </w:r>
          </w:p>
        </w:tc>
      </w:tr>
      <w:tr w:rsidR="00F863CA" w:rsidRPr="00E00F6B" w:rsidTr="00F9201E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ЗАГСе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804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F9201E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804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F9201E">
      <w:pPr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F9201E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F9201E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7087"/>
      </w:tblGrid>
      <w:tr w:rsidR="00D54078" w:rsidRPr="00E00F6B" w:rsidTr="00F9201E">
        <w:trPr>
          <w:trHeight w:val="435"/>
        </w:trPr>
        <w:tc>
          <w:tcPr>
            <w:tcW w:w="10206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F9201E">
        <w:trPr>
          <w:trHeight w:val="435"/>
        </w:trPr>
        <w:tc>
          <w:tcPr>
            <w:tcW w:w="3119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7087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F9201E">
        <w:trPr>
          <w:trHeight w:val="435"/>
        </w:trPr>
        <w:tc>
          <w:tcPr>
            <w:tcW w:w="3119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7087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F9201E">
        <w:trPr>
          <w:trHeight w:val="435"/>
        </w:trPr>
        <w:tc>
          <w:tcPr>
            <w:tcW w:w="3119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7087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F9201E">
        <w:trPr>
          <w:trHeight w:val="435"/>
        </w:trPr>
        <w:tc>
          <w:tcPr>
            <w:tcW w:w="10206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F9201E">
        <w:trPr>
          <w:trHeight w:val="435"/>
        </w:trPr>
        <w:tc>
          <w:tcPr>
            <w:tcW w:w="3119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7087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сыну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гражданина уже исполнилось 18 лет</w:t>
            </w:r>
          </w:p>
        </w:tc>
      </w:tr>
      <w:tr w:rsidR="00E5214C" w:rsidRPr="00E00F6B" w:rsidTr="00F9201E">
        <w:trPr>
          <w:trHeight w:val="435"/>
        </w:trPr>
        <w:tc>
          <w:tcPr>
            <w:tcW w:w="3119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7087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F9201E">
        <w:trPr>
          <w:trHeight w:val="435"/>
        </w:trPr>
        <w:tc>
          <w:tcPr>
            <w:tcW w:w="3119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7087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</w:t>
      </w:r>
      <w:r w:rsidRPr="00E00F6B">
        <w:rPr>
          <w:rFonts w:ascii="Times New Roman" w:hAnsi="Times New Roman"/>
          <w:sz w:val="28"/>
          <w:szCs w:val="28"/>
        </w:rPr>
        <w:lastRenderedPageBreak/>
        <w:t>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B30448" w:rsidRPr="00E00F6B" w:rsidTr="00F9201E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945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F9201E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945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), иных организациях, созданных на основании федеральных законов, отдельные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F9201E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6945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1D66AF" w:rsidRPr="00E00F6B" w:rsidTr="00F9201E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F9201E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Российской Федерации </w:t>
            </w:r>
          </w:p>
        </w:tc>
        <w:tc>
          <w:tcPr>
            <w:tcW w:w="6945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F9201E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945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5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декабря отчетного года. При заполнении справки гражданином, не осуществляющим трудовую 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казание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полученные им за совершение нотариальных действий и оказание услуг правового и технического характера, </w:t>
      </w:r>
      <w:r w:rsidRPr="00E00F6B">
        <w:rPr>
          <w:rFonts w:ascii="Times New Roman" w:hAnsi="Times New Roman"/>
          <w:sz w:val="28"/>
          <w:szCs w:val="28"/>
        </w:rPr>
        <w:lastRenderedPageBreak/>
        <w:t>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официальном сайте Банка России по адресу: </w:t>
      </w:r>
      <w:hyperlink r:id="rId1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</w:t>
      </w:r>
      <w:r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 xml:space="preserve">предметы обычной домашней </w:t>
      </w:r>
      <w:r w:rsidRPr="00344858">
        <w:rPr>
          <w:rFonts w:ascii="Times New Roman" w:hAnsi="Times New Roman" w:cs="Times New Roman"/>
          <w:sz w:val="28"/>
          <w:szCs w:val="28"/>
        </w:rPr>
        <w:lastRenderedPageBreak/>
        <w:t>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</w:t>
      </w:r>
      <w:r w:rsidRPr="00E00F6B">
        <w:rPr>
          <w:rFonts w:ascii="Times New Roman" w:hAnsi="Times New Roman"/>
          <w:sz w:val="28"/>
          <w:szCs w:val="28"/>
        </w:rPr>
        <w:lastRenderedPageBreak/>
        <w:t>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 xml:space="preserve">наименование и реквизиты документа, </w:t>
      </w:r>
      <w:r w:rsidRPr="00E00F6B">
        <w:lastRenderedPageBreak/>
        <w:t>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 xml:space="preserve"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lastRenderedPageBreak/>
        <w:t>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</w:t>
      </w:r>
      <w:r w:rsidR="00723B5C" w:rsidRPr="002E3630">
        <w:rPr>
          <w:rFonts w:ascii="Times New Roman" w:hAnsi="Times New Roman"/>
          <w:sz w:val="28"/>
          <w:szCs w:val="28"/>
        </w:rPr>
        <w:lastRenderedPageBreak/>
        <w:t xml:space="preserve">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8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1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«Яндекс.Деньги», «</w:t>
      </w:r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3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4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не принадлежащем служащему (работнику) или членам его семьи на праве собственности или на праве нанимателя, но в котором у служащего 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8443F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8443F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8443F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8443F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8443F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8443F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8443F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8443FD">
      <w:pPr>
        <w:pStyle w:val="aa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8443F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8443FD">
      <w:pPr>
        <w:pStyle w:val="aa"/>
        <w:widowControl w:val="0"/>
        <w:autoSpaceDE w:val="0"/>
        <w:autoSpaceDN w:val="0"/>
        <w:adjustRightInd w:val="0"/>
        <w:ind w:left="0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8443F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F9201E">
      <w:headerReference w:type="default" r:id="rId27"/>
      <w:pgSz w:w="11906" w:h="16838"/>
      <w:pgMar w:top="1134" w:right="567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0B0" w:rsidRDefault="00B740B0" w:rsidP="00204BB5">
      <w:r>
        <w:separator/>
      </w:r>
    </w:p>
  </w:endnote>
  <w:endnote w:type="continuationSeparator" w:id="0">
    <w:p w:rsidR="00B740B0" w:rsidRDefault="00B740B0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0B0" w:rsidRDefault="00B740B0" w:rsidP="00204BB5">
      <w:r>
        <w:separator/>
      </w:r>
    </w:p>
  </w:footnote>
  <w:footnote w:type="continuationSeparator" w:id="0">
    <w:p w:rsidR="00B740B0" w:rsidRDefault="00B740B0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B3" w:rsidRDefault="00D526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1F1FE3">
      <w:rPr>
        <w:rFonts w:ascii="Times New Roman" w:hAnsi="Times New Roman"/>
        <w:noProof/>
        <w:sz w:val="28"/>
        <w:szCs w:val="28"/>
      </w:rPr>
      <w:t>2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 w15:restartNumberingAfterBreak="0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B5"/>
    <w:rsid w:val="0000007E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0C14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1FE3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54F22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4EB9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2F5D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3FD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0F31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6522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88C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0B0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7A0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5DD1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3691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1E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4EF8F-61DB-46FC-BA3C-E9865BF5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77/contacts/div1145039/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hd_base/?PrtId=metall_base_ne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page/index/spravki_bk" TargetMode="External"/><Relationship Id="rId20" Type="http://schemas.openxmlformats.org/officeDocument/2006/relationships/hyperlink" Target="https://www.gibdd.ru/r/66/contacts/div116504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23" Type="http://schemas.openxmlformats.org/officeDocument/2006/relationships/hyperlink" Target="http://cbr.ru/credit/likvidbase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s://www.gibdd.ru/r/66/contacts/div116505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618CF4F-5DFD-49C7-9331-B8FFDC8F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16106</Words>
  <Characters>91810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107701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Nota2</cp:lastModifiedBy>
  <cp:revision>2</cp:revision>
  <cp:lastPrinted>2018-12-26T07:50:00Z</cp:lastPrinted>
  <dcterms:created xsi:type="dcterms:W3CDTF">2019-03-28T11:36:00Z</dcterms:created>
  <dcterms:modified xsi:type="dcterms:W3CDTF">2019-03-28T11:36:00Z</dcterms:modified>
</cp:coreProperties>
</file>